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B3C7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277FE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F1EFBA8">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67.080.10     </w:t>
            </w:r>
            <w:r>
              <w:rPr>
                <w:rFonts w:ascii="黑体" w:hAnsi="黑体" w:eastAsia="黑体"/>
                <w:sz w:val="21"/>
                <w:szCs w:val="21"/>
              </w:rPr>
              <w:fldChar w:fldCharType="end"/>
            </w:r>
            <w:bookmarkEnd w:id="0"/>
          </w:p>
        </w:tc>
      </w:tr>
      <w:tr w14:paraId="26A49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94B66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F3C3B4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D91C7F0">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CNCAIA</w:t>
                  </w:r>
                  <w:r>
                    <w:fldChar w:fldCharType="end"/>
                  </w:r>
                  <w:bookmarkEnd w:id="1"/>
                </w:p>
              </w:tc>
            </w:tr>
          </w:tbl>
          <w:p w14:paraId="38874D5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31     </w:t>
            </w:r>
            <w:r>
              <w:rPr>
                <w:rFonts w:ascii="黑体" w:hAnsi="黑体" w:eastAsia="黑体"/>
                <w:sz w:val="21"/>
                <w:szCs w:val="21"/>
              </w:rPr>
              <w:fldChar w:fldCharType="end"/>
            </w:r>
            <w:bookmarkEnd w:id="2"/>
          </w:p>
        </w:tc>
      </w:tr>
    </w:tbl>
    <w:p w14:paraId="2EB8E4DC">
      <w:pPr>
        <w:pStyle w:val="51"/>
        <w:framePr w:w="9639" w:h="624" w:hRule="exact" w:hSpace="181" w:vSpace="181"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中国苹果产业协会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3CA30B0">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CNCAIA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0014</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2026</w:t>
      </w:r>
      <w:r>
        <w:fldChar w:fldCharType="end"/>
      </w:r>
      <w:bookmarkEnd w:id="7"/>
    </w:p>
    <w:p w14:paraId="5838D721">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D06035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ADCDDA3">
      <w:pPr>
        <w:pStyle w:val="51"/>
        <w:framePr w:w="9639" w:h="6976" w:hRule="exact" w:hSpace="0" w:vSpace="0" w:hAnchor="page" w:y="6408"/>
        <w:jc w:val="center"/>
        <w:rPr>
          <w:rFonts w:hint="eastAsia" w:ascii="黑体" w:hAnsi="黑体" w:eastAsia="黑体"/>
          <w:b w:val="0"/>
          <w:bCs w:val="0"/>
          <w:w w:val="100"/>
        </w:rPr>
      </w:pPr>
    </w:p>
    <w:p w14:paraId="2CB40C2F">
      <w:pPr>
        <w:pStyle w:val="198"/>
        <w:framePr w:h="6974" w:hRule="exact"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嘎啦苹果质量等级和规格</w:t>
      </w:r>
      <w:r>
        <w:fldChar w:fldCharType="end"/>
      </w:r>
      <w:bookmarkEnd w:id="9"/>
    </w:p>
    <w:p w14:paraId="5ECD6948">
      <w:pPr>
        <w:framePr w:w="9639" w:h="6974" w:hRule="exact" w:wrap="around" w:vAnchor="page" w:hAnchor="page" w:x="1419" w:y="6408" w:anchorLock="1"/>
        <w:ind w:left="-1418"/>
      </w:pPr>
    </w:p>
    <w:p w14:paraId="153BDEAE">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Grades and specifications</w:t>
      </w:r>
      <w:r>
        <w:rPr>
          <w:rFonts w:eastAsia="黑体"/>
          <w:szCs w:val="28"/>
        </w:rPr>
        <w:t xml:space="preserve"> of Gala apple</w:t>
      </w:r>
      <w:r>
        <w:rPr>
          <w:rFonts w:eastAsia="黑体"/>
          <w:szCs w:val="28"/>
        </w:rPr>
        <w:fldChar w:fldCharType="end"/>
      </w:r>
      <w:bookmarkEnd w:id="10"/>
    </w:p>
    <w:p w14:paraId="49448CEA">
      <w:pPr>
        <w:framePr w:w="9639" w:h="6974" w:hRule="exact" w:wrap="around" w:vAnchor="page" w:hAnchor="page" w:x="1419" w:y="6408" w:anchorLock="1"/>
        <w:spacing w:line="760" w:lineRule="exact"/>
        <w:ind w:left="-1418"/>
      </w:pPr>
    </w:p>
    <w:p w14:paraId="6655DE5E">
      <w:pPr>
        <w:pStyle w:val="126"/>
        <w:framePr w:w="9639" w:h="6974" w:hRule="exact" w:wrap="around" w:vAnchor="page" w:hAnchor="page" w:x="1419" w:y="6408" w:anchorLock="1"/>
        <w:textAlignment w:val="bottom"/>
        <w:rPr>
          <w:rFonts w:eastAsia="黑体"/>
          <w:szCs w:val="28"/>
        </w:rPr>
      </w:pPr>
    </w:p>
    <w:p w14:paraId="0BCB8DEA">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7D814C6">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CD005AD">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4ED8C69">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941563B">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4D0EC73">
      <w:pPr>
        <w:pStyle w:val="152"/>
        <w:framePr w:h="584" w:hRule="exact" w:hSpace="181" w:vSpace="181"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中国苹果产业协会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22A26BF">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DCEE0C0">
      <w:pPr>
        <w:pStyle w:val="90"/>
        <w:spacing w:before="560" w:after="360"/>
      </w:pPr>
      <w:bookmarkStart w:id="21" w:name="BookMark2"/>
      <w:r>
        <w:rPr>
          <w:rFonts w:hint="eastAsia"/>
          <w:spacing w:val="320"/>
        </w:rPr>
        <w:t>前</w:t>
      </w:r>
      <w:r>
        <w:rPr>
          <w:rFonts w:hint="eastAsia"/>
        </w:rPr>
        <w:t>言</w:t>
      </w:r>
    </w:p>
    <w:p w14:paraId="3AAF9A26">
      <w:pPr>
        <w:pStyle w:val="57"/>
        <w:ind w:firstLine="420"/>
      </w:pPr>
      <w:r>
        <w:rPr>
          <w:rFonts w:hint="eastAsia"/>
        </w:rPr>
        <w:t>本文件按照GB/T 1.1—2020《标准化工作导则  第1部分：标准化文件的结构和起草规则》的规定起草。</w:t>
      </w:r>
    </w:p>
    <w:p w14:paraId="1C97811C">
      <w:pPr>
        <w:pStyle w:val="57"/>
        <w:ind w:firstLine="420"/>
      </w:pPr>
      <w:r>
        <w:rPr>
          <w:rFonts w:hint="eastAsia"/>
        </w:rPr>
        <w:t>请注意本文件的某些内容可能涉及专利。本文件的发布机构不承担识别专利的责任。</w:t>
      </w:r>
    </w:p>
    <w:p w14:paraId="34695EE6">
      <w:pPr>
        <w:pStyle w:val="57"/>
        <w:ind w:firstLine="420"/>
      </w:pPr>
      <w:r>
        <w:rPr>
          <w:rFonts w:hint="eastAsia"/>
        </w:rPr>
        <w:t>本文件由</w:t>
      </w:r>
      <w:r>
        <w:t>全国农业技术推广服务中心</w:t>
      </w:r>
      <w:r>
        <w:rPr>
          <w:rFonts w:hint="eastAsia"/>
        </w:rPr>
        <w:t>提出。</w:t>
      </w:r>
    </w:p>
    <w:p w14:paraId="272F3B9F">
      <w:pPr>
        <w:pStyle w:val="57"/>
        <w:ind w:firstLine="420"/>
      </w:pPr>
      <w:r>
        <w:rPr>
          <w:rFonts w:hint="eastAsia"/>
        </w:rPr>
        <w:t>本文件由</w:t>
      </w:r>
      <w:r>
        <w:t>中国苹果产业协会</w:t>
      </w:r>
      <w:r>
        <w:rPr>
          <w:rFonts w:hint="eastAsia"/>
        </w:rPr>
        <w:t>归口。</w:t>
      </w:r>
    </w:p>
    <w:p w14:paraId="0561F2B0">
      <w:pPr>
        <w:pStyle w:val="57"/>
        <w:ind w:firstLine="420"/>
        <w:rPr>
          <w:rFonts w:hint="eastAsia"/>
        </w:rPr>
      </w:pPr>
      <w:r>
        <w:rPr>
          <w:rFonts w:hint="eastAsia"/>
        </w:rPr>
        <w:t>本文件起草单位：</w:t>
      </w:r>
    </w:p>
    <w:p w14:paraId="0C66CE83">
      <w:pPr>
        <w:pStyle w:val="57"/>
        <w:ind w:firstLine="420"/>
      </w:pPr>
      <w:r>
        <w:rPr>
          <w:rFonts w:hint="eastAsia"/>
        </w:rPr>
        <w:t>本文件主要起草人：</w:t>
      </w:r>
      <w:bookmarkStart w:id="44" w:name="_GoBack"/>
      <w:bookmarkEnd w:id="44"/>
    </w:p>
    <w:p w14:paraId="4EBC331E">
      <w:pPr>
        <w:pStyle w:val="57"/>
        <w:ind w:firstLine="420"/>
      </w:pPr>
    </w:p>
    <w:p w14:paraId="3FA9F406">
      <w:pPr>
        <w:pStyle w:val="57"/>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15199CD5">
      <w:pPr>
        <w:spacing w:line="20" w:lineRule="exact"/>
        <w:jc w:val="center"/>
        <w:rPr>
          <w:rFonts w:hint="eastAsia" w:ascii="黑体" w:hAnsi="黑体" w:eastAsia="黑体"/>
          <w:sz w:val="32"/>
          <w:szCs w:val="32"/>
        </w:rPr>
      </w:pPr>
      <w:bookmarkStart w:id="22" w:name="BookMark4"/>
    </w:p>
    <w:p w14:paraId="2CD0A793">
      <w:pPr>
        <w:spacing w:line="20" w:lineRule="exact"/>
        <w:jc w:val="center"/>
        <w:rPr>
          <w:rFonts w:hint="eastAsia" w:ascii="黑体" w:hAnsi="黑体" w:eastAsia="黑体"/>
          <w:sz w:val="32"/>
          <w:szCs w:val="32"/>
        </w:rPr>
      </w:pPr>
    </w:p>
    <w:sdt>
      <w:sdtPr>
        <w:tag w:val="NEW_STAND_NAME"/>
        <w:id w:val="595910757"/>
        <w:lock w:val="sdtLocked"/>
        <w:placeholder>
          <w:docPart w:val="E840614E654145D5BC7E1B1AEA287D34"/>
        </w:placeholder>
      </w:sdtPr>
      <w:sdtContent>
        <w:p w14:paraId="20DA39BD">
          <w:pPr>
            <w:pStyle w:val="178"/>
            <w:spacing w:before="4" w:beforeLines="1" w:after="687" w:afterLines="220"/>
            <w:rPr>
              <w:rFonts w:hint="eastAsia"/>
            </w:rPr>
          </w:pPr>
          <w:bookmarkStart w:id="23" w:name="NEW_STAND_NAME"/>
          <w:r>
            <w:rPr>
              <w:rFonts w:hint="eastAsia"/>
            </w:rPr>
            <w:t>嘎啦苹果质量等级</w:t>
          </w:r>
          <w:r>
            <w:rPr>
              <w:rFonts w:hint="eastAsia"/>
              <w:lang w:eastAsia="zh-CN"/>
            </w:rPr>
            <w:t>和</w:t>
          </w:r>
          <w:r>
            <w:rPr>
              <w:rFonts w:hint="eastAsia"/>
            </w:rPr>
            <w:t>规格</w:t>
          </w:r>
        </w:p>
      </w:sdtContent>
    </w:sdt>
    <w:bookmarkEnd w:id="23"/>
    <w:p w14:paraId="60BE5C9A">
      <w:pPr>
        <w:pStyle w:val="105"/>
        <w:spacing w:before="240" w:after="240"/>
      </w:pPr>
      <w:bookmarkStart w:id="24" w:name="_Toc26718930"/>
      <w:bookmarkStart w:id="25" w:name="_Toc24884218"/>
      <w:bookmarkStart w:id="26" w:name="_Toc26648465"/>
      <w:bookmarkStart w:id="27" w:name="_Toc17233325"/>
      <w:bookmarkStart w:id="28" w:name="_Toc24884211"/>
      <w:bookmarkStart w:id="29" w:name="_Toc17233333"/>
      <w:bookmarkStart w:id="30" w:name="_Toc26986771"/>
      <w:bookmarkStart w:id="31" w:name="_Toc26986530"/>
      <w:bookmarkStart w:id="32" w:name="_Toc97192964"/>
      <w:r>
        <w:rPr>
          <w:rFonts w:hint="eastAsia"/>
        </w:rPr>
        <w:t>范围</w:t>
      </w:r>
      <w:bookmarkEnd w:id="24"/>
      <w:bookmarkEnd w:id="25"/>
      <w:bookmarkEnd w:id="26"/>
      <w:bookmarkEnd w:id="27"/>
      <w:bookmarkEnd w:id="28"/>
      <w:bookmarkEnd w:id="29"/>
      <w:bookmarkEnd w:id="30"/>
      <w:bookmarkEnd w:id="31"/>
      <w:bookmarkEnd w:id="32"/>
    </w:p>
    <w:p w14:paraId="6700D19C">
      <w:pPr>
        <w:pStyle w:val="57"/>
        <w:ind w:firstLine="420"/>
      </w:pPr>
      <w:bookmarkStart w:id="33" w:name="_Toc26648466"/>
      <w:bookmarkStart w:id="34" w:name="_Toc24884212"/>
      <w:bookmarkStart w:id="35" w:name="_Toc17233334"/>
      <w:bookmarkStart w:id="36" w:name="_Toc17233326"/>
      <w:bookmarkStart w:id="37" w:name="_Toc24884219"/>
      <w:r>
        <w:rPr>
          <w:rFonts w:hint="eastAsia"/>
        </w:rPr>
        <w:t>本文件规定了嘎啦系苹果的术语和定义、质量要求、规格划分、容许度、试验方法、检验规则等内容。</w:t>
      </w:r>
    </w:p>
    <w:p w14:paraId="7CCD48EF">
      <w:pPr>
        <w:pStyle w:val="57"/>
        <w:ind w:firstLine="420"/>
        <w:rPr>
          <w:rFonts w:hint="eastAsia" w:eastAsia="宋体"/>
          <w:lang w:eastAsia="zh-CN"/>
        </w:rPr>
      </w:pPr>
      <w:r>
        <w:rPr>
          <w:rFonts w:hint="eastAsia"/>
          <w:lang w:eastAsia="zh-CN"/>
        </w:rPr>
        <w:t>本文件适用于符合中国安全卫生要求的嘎啦苹果。</w:t>
      </w:r>
    </w:p>
    <w:p w14:paraId="06F08844">
      <w:pPr>
        <w:pStyle w:val="57"/>
        <w:ind w:firstLine="420"/>
      </w:pPr>
      <w:r>
        <w:rPr>
          <w:rFonts w:hint="eastAsia"/>
        </w:rPr>
        <w:t>本文件适用于</w:t>
      </w:r>
      <w:r>
        <w:rPr>
          <w:rFonts w:hint="eastAsia"/>
          <w:lang w:eastAsia="zh-CN"/>
        </w:rPr>
        <w:t>国内</w:t>
      </w:r>
      <w:r>
        <w:rPr>
          <w:rFonts w:hint="eastAsia"/>
        </w:rPr>
        <w:t>嘎啦苹果鲜食及加工的生产、收购、贮藏、运输和销售。</w:t>
      </w:r>
    </w:p>
    <w:p w14:paraId="5BE8DE51">
      <w:pPr>
        <w:pStyle w:val="57"/>
        <w:ind w:firstLine="420"/>
      </w:pPr>
      <w:r>
        <w:rPr>
          <w:rFonts w:hint="eastAsia"/>
        </w:rPr>
        <w:t>本文件所称嘎啦苹果包括皇家嘎啦、大卫嘎啦、米奇拉等嘎啦系品种。</w:t>
      </w:r>
    </w:p>
    <w:p w14:paraId="19B3E68C">
      <w:pPr>
        <w:pStyle w:val="105"/>
        <w:spacing w:before="240" w:after="240"/>
      </w:pPr>
      <w:bookmarkStart w:id="38" w:name="_Toc26986772"/>
      <w:bookmarkStart w:id="39" w:name="_Toc26718931"/>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042C111769E485CBBECE3AE3588929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F2A29E2">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9660438">
      <w:pPr>
        <w:pStyle w:val="57"/>
        <w:ind w:firstLine="420"/>
      </w:pPr>
      <w:r>
        <w:t>GB 2762 食品安全国家标准 食品中污染物限量</w:t>
      </w:r>
    </w:p>
    <w:p w14:paraId="5B86ACDC">
      <w:pPr>
        <w:pStyle w:val="57"/>
        <w:ind w:firstLine="420"/>
      </w:pPr>
      <w:r>
        <w:t>GB 2763 食品安全国家标准 食品中农药最大残留限量</w:t>
      </w:r>
    </w:p>
    <w:p w14:paraId="08CF2EBB">
      <w:pPr>
        <w:pStyle w:val="57"/>
        <w:ind w:firstLine="420"/>
      </w:pPr>
      <w:r>
        <w:t>GB/T 10651 鲜苹果</w:t>
      </w:r>
    </w:p>
    <w:p w14:paraId="4E0D69D7">
      <w:pPr>
        <w:pStyle w:val="57"/>
        <w:ind w:firstLine="420"/>
      </w:pPr>
      <w:r>
        <w:t>GB/T 23616 加工用苹果分级</w:t>
      </w:r>
    </w:p>
    <w:p w14:paraId="4DE747C0">
      <w:pPr>
        <w:pStyle w:val="57"/>
        <w:ind w:firstLine="420"/>
      </w:pPr>
      <w:r>
        <w:t>GB/T 6682 分析实验室用水规格和试验方法</w:t>
      </w:r>
    </w:p>
    <w:p w14:paraId="2071C583">
      <w:pPr>
        <w:pStyle w:val="57"/>
        <w:ind w:firstLine="420"/>
      </w:pPr>
      <w:r>
        <w:t>NY/T 2637 水果和蔬菜可溶性固形物含量的测定 折射仪法</w:t>
      </w:r>
    </w:p>
    <w:p w14:paraId="43F53ED5">
      <w:pPr>
        <w:pStyle w:val="57"/>
        <w:ind w:firstLine="420"/>
      </w:pPr>
      <w:r>
        <w:t>T/CNCAIA 0008 静宁红富士苹果贮藏保鲜技术规程</w:t>
      </w:r>
    </w:p>
    <w:p w14:paraId="3F3B4F7B">
      <w:pPr>
        <w:pStyle w:val="105"/>
        <w:spacing w:before="240" w:after="240"/>
      </w:pPr>
      <w:bookmarkStart w:id="42" w:name="_Toc97192966"/>
      <w:r>
        <w:rPr>
          <w:rFonts w:hint="eastAsia"/>
          <w:szCs w:val="21"/>
        </w:rPr>
        <w:t>术语和定义</w:t>
      </w:r>
      <w:bookmarkEnd w:id="42"/>
    </w:p>
    <w:sdt>
      <w:sdtPr>
        <w:id w:val="-1909835108"/>
        <w:placeholder>
          <w:docPart w:val="E44F45F32BA5473F9A9D18860C13D7E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01D38B">
          <w:pPr>
            <w:pStyle w:val="57"/>
            <w:ind w:firstLine="420"/>
          </w:pPr>
          <w:bookmarkStart w:id="43" w:name="_Toc26986532"/>
          <w:bookmarkEnd w:id="43"/>
          <w:r>
            <w:t>下列术语和定义适用于本文件。</w:t>
          </w:r>
        </w:p>
      </w:sdtContent>
    </w:sdt>
    <w:p w14:paraId="153D610E">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果形指数 shape index</w:t>
      </w:r>
    </w:p>
    <w:p w14:paraId="0FF5FD3B">
      <w:pPr>
        <w:pStyle w:val="57"/>
        <w:ind w:firstLine="420"/>
      </w:pPr>
      <w:r>
        <w:rPr>
          <w:rFonts w:hint="eastAsia"/>
        </w:rPr>
        <w:t>果实最大纵径与最大横径的比值。</w:t>
      </w:r>
    </w:p>
    <w:p w14:paraId="29B71C83">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果径 fruit diameter</w:t>
      </w:r>
    </w:p>
    <w:p w14:paraId="05444A2C">
      <w:pPr>
        <w:pStyle w:val="57"/>
        <w:ind w:firstLine="420"/>
      </w:pPr>
      <w:r>
        <w:rPr>
          <w:rFonts w:hint="eastAsia"/>
        </w:rPr>
        <w:t>果实的最大横切面直径，单位为毫米（mm）。</w:t>
      </w:r>
    </w:p>
    <w:p w14:paraId="1DE1F87A">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条纹着色 stripe colouring</w:t>
      </w:r>
    </w:p>
    <w:p w14:paraId="0A7FF005">
      <w:pPr>
        <w:pStyle w:val="57"/>
        <w:ind w:firstLine="420"/>
      </w:pPr>
      <w:r>
        <w:rPr>
          <w:rFonts w:hint="eastAsia"/>
        </w:rPr>
        <w:t>果皮底色黄绿，鲜红色断续或连续条纹覆盖果面的着色特征。有效着色面积仅按红色条纹覆盖的果皮面积计算，黄绿色底色、淡褐色条纹及青褐色条纹不计入有效着色面积。</w:t>
      </w:r>
    </w:p>
    <w:p w14:paraId="43543DD7">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轻微机械伤 slight mechanical damage</w:t>
      </w:r>
    </w:p>
    <w:p w14:paraId="5FE7EEF6">
      <w:pPr>
        <w:pStyle w:val="57"/>
        <w:ind w:firstLine="420"/>
      </w:pPr>
      <w:r>
        <w:rPr>
          <w:rFonts w:hint="eastAsia"/>
        </w:rPr>
        <w:t>果实受碰压、刺伤或摩擦后形成的轻微物理损伤。轻微机械伤包括果皮未破、伤面稍微凹陷、变色不明显且无汁液外溢的碰压伤；总长度不超过 1.0 cm、面积不超过 5.0 mm²、深度不超过 0.3 cm 的刺伤；以及面积不超过 5.0 mm²、色浅且不发黑的磨伤。</w:t>
      </w:r>
    </w:p>
    <w:p w14:paraId="0F4BA1A2">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果锈 russeting</w:t>
      </w:r>
    </w:p>
    <w:p w14:paraId="4ABF3B5A">
      <w:pPr>
        <w:pStyle w:val="57"/>
        <w:ind w:firstLine="420"/>
      </w:pPr>
      <w:r>
        <w:rPr>
          <w:rFonts w:hint="eastAsia"/>
        </w:rPr>
        <w:t>由于外部环境或药害等因素导致果皮产生的无光泽暗褐色木栓化薄层或点状物。果锈主要分为片锈、网锈和点锈。</w:t>
      </w:r>
    </w:p>
    <w:p w14:paraId="145FA1D1">
      <w:pPr>
        <w:pStyle w:val="224"/>
        <w:ind w:left="420" w:hanging="420" w:hangingChars="200"/>
        <w:rPr>
          <w:rFonts w:hint="eastAsia" w:ascii="黑体" w:hAnsi="黑体" w:eastAsia="黑体"/>
          <w:color w:val="auto"/>
        </w:rPr>
      </w:pPr>
      <w:r>
        <w:rPr>
          <w:rFonts w:ascii="黑体" w:hAnsi="黑体" w:eastAsia="黑体"/>
        </w:rPr>
        <w:br w:type="textWrapping"/>
      </w:r>
      <w:r>
        <w:rPr>
          <w:rFonts w:hint="eastAsia" w:ascii="黑体" w:hAnsi="黑体" w:eastAsia="黑体"/>
        </w:rPr>
        <w:t>固</w:t>
      </w:r>
      <w:r>
        <w:rPr>
          <w:rFonts w:hint="eastAsia" w:ascii="黑体" w:hAnsi="黑体" w:eastAsia="黑体"/>
          <w:color w:val="auto"/>
        </w:rPr>
        <w:t>酸比 soluble solids to acidity ratio</w:t>
      </w:r>
    </w:p>
    <w:p w14:paraId="132F750C">
      <w:pPr>
        <w:pStyle w:val="57"/>
        <w:ind w:firstLine="420"/>
        <w:rPr>
          <w:color w:val="auto"/>
        </w:rPr>
      </w:pPr>
      <w:r>
        <w:rPr>
          <w:rFonts w:hint="eastAsia"/>
          <w:color w:val="auto"/>
        </w:rPr>
        <w:t>可溶性固形物含量与可滴定酸含量的比值。</w:t>
      </w:r>
    </w:p>
    <w:p w14:paraId="5FE808EC">
      <w:pPr>
        <w:pStyle w:val="224"/>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损失率 </w:t>
      </w:r>
      <w:r>
        <w:rPr>
          <w:rFonts w:ascii="黑体" w:hAnsi="黑体" w:eastAsia="黑体"/>
          <w:color w:val="auto"/>
        </w:rPr>
        <w:t>damage rate</w:t>
      </w:r>
      <w:r>
        <w:rPr>
          <w:rFonts w:hint="eastAsia" w:ascii="黑体" w:hAnsi="黑体" w:eastAsia="黑体"/>
          <w:color w:val="auto"/>
        </w:rPr>
        <w:t xml:space="preserve"> </w:t>
      </w:r>
    </w:p>
    <w:p w14:paraId="7199303F">
      <w:pPr>
        <w:pStyle w:val="57"/>
        <w:ind w:firstLine="420"/>
        <w:rPr>
          <w:color w:val="auto"/>
        </w:rPr>
      </w:pPr>
      <w:r>
        <w:rPr>
          <w:rFonts w:hint="eastAsia"/>
          <w:color w:val="auto"/>
        </w:rPr>
        <w:t>因缺陷或损伤造成不能用于加工的部分占单个苹果重量的百分比。</w:t>
      </w:r>
    </w:p>
    <w:p w14:paraId="396ACB40">
      <w:pPr>
        <w:pStyle w:val="224"/>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缺陷 defects</w:t>
      </w:r>
    </w:p>
    <w:p w14:paraId="0A40834A">
      <w:pPr>
        <w:pStyle w:val="57"/>
        <w:ind w:firstLine="420"/>
        <w:rPr>
          <w:color w:val="auto"/>
        </w:rPr>
      </w:pPr>
      <w:r>
        <w:rPr>
          <w:rFonts w:hint="eastAsia"/>
          <w:color w:val="auto"/>
        </w:rPr>
        <w:t>果实在生长发育、采摘、贮藏、运输和销售过程中受物理、化学或生物因素影响，对果实外观、结构或品质造成的伤害，如腐烂、虫伤、冻伤、腐心、机械伤等。</w:t>
      </w:r>
    </w:p>
    <w:p w14:paraId="41563A0D">
      <w:pPr>
        <w:pStyle w:val="105"/>
        <w:spacing w:before="240" w:after="240"/>
        <w:rPr>
          <w:color w:val="auto"/>
        </w:rPr>
      </w:pPr>
      <w:r>
        <w:rPr>
          <w:rFonts w:hint="eastAsia"/>
          <w:color w:val="auto"/>
        </w:rPr>
        <w:t>等级和规格要求</w:t>
      </w:r>
    </w:p>
    <w:p w14:paraId="4269A782">
      <w:pPr>
        <w:pStyle w:val="106"/>
        <w:spacing w:before="120" w:after="120"/>
        <w:rPr>
          <w:color w:val="auto"/>
        </w:rPr>
      </w:pPr>
      <w:r>
        <w:rPr>
          <w:rFonts w:hint="eastAsia"/>
          <w:color w:val="auto"/>
        </w:rPr>
        <w:t>等级要求</w:t>
      </w:r>
    </w:p>
    <w:p w14:paraId="73C781B5">
      <w:pPr>
        <w:pStyle w:val="57"/>
        <w:ind w:firstLine="420"/>
        <w:rPr>
          <w:color w:val="auto"/>
        </w:rPr>
      </w:pPr>
      <w:r>
        <w:rPr>
          <w:rFonts w:hint="eastAsia"/>
          <w:color w:val="auto"/>
        </w:rPr>
        <w:t>嘎啦苹果划分为精品果、一等果、二等果三个等级，各等级要求应符合表1的要求。</w:t>
      </w:r>
    </w:p>
    <w:p w14:paraId="7C7EC935">
      <w:pPr>
        <w:pStyle w:val="113"/>
        <w:spacing w:before="120" w:after="120"/>
        <w:rPr>
          <w:color w:val="auto"/>
        </w:rPr>
      </w:pPr>
      <w:r>
        <w:rPr>
          <w:color w:val="auto"/>
        </w:rPr>
        <w:t>等级要求</w:t>
      </w:r>
    </w:p>
    <w:tbl>
      <w:tblPr>
        <w:tblStyle w:val="27"/>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2693"/>
        <w:gridCol w:w="2268"/>
        <w:gridCol w:w="2699"/>
      </w:tblGrid>
      <w:tr w14:paraId="2F69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 w:hRule="atLeast"/>
          <w:tblHeader/>
          <w:jc w:val="center"/>
        </w:trPr>
        <w:tc>
          <w:tcPr>
            <w:tcW w:w="1555" w:type="dxa"/>
            <w:vAlign w:val="center"/>
          </w:tcPr>
          <w:p w14:paraId="53EB6572">
            <w:pPr>
              <w:snapToGrid w:val="0"/>
              <w:spacing w:line="240" w:lineRule="auto"/>
              <w:jc w:val="center"/>
              <w:rPr>
                <w:rFonts w:ascii="Times New Roman" w:hAnsi="Times New Roman"/>
                <w:bCs/>
                <w:color w:val="auto"/>
              </w:rPr>
            </w:pPr>
            <w:r>
              <w:rPr>
                <w:rFonts w:ascii="Times New Roman" w:hAnsi="Times New Roman"/>
                <w:bCs/>
                <w:color w:val="auto"/>
              </w:rPr>
              <w:t>项目</w:t>
            </w:r>
          </w:p>
        </w:tc>
        <w:tc>
          <w:tcPr>
            <w:tcW w:w="2693" w:type="dxa"/>
            <w:vAlign w:val="center"/>
          </w:tcPr>
          <w:p w14:paraId="25907F2D">
            <w:pPr>
              <w:snapToGrid w:val="0"/>
              <w:spacing w:line="240" w:lineRule="auto"/>
              <w:jc w:val="center"/>
              <w:rPr>
                <w:rFonts w:ascii="Times New Roman" w:hAnsi="Times New Roman"/>
                <w:bCs/>
                <w:color w:val="auto"/>
              </w:rPr>
            </w:pPr>
            <w:r>
              <w:rPr>
                <w:rFonts w:ascii="Times New Roman" w:hAnsi="Times New Roman"/>
                <w:bCs/>
                <w:color w:val="auto"/>
              </w:rPr>
              <w:t>精品果</w:t>
            </w:r>
          </w:p>
        </w:tc>
        <w:tc>
          <w:tcPr>
            <w:tcW w:w="2268" w:type="dxa"/>
            <w:vAlign w:val="center"/>
          </w:tcPr>
          <w:p w14:paraId="5E9932A9">
            <w:pPr>
              <w:snapToGrid w:val="0"/>
              <w:spacing w:line="240" w:lineRule="auto"/>
              <w:jc w:val="center"/>
              <w:rPr>
                <w:rFonts w:ascii="Times New Roman" w:hAnsi="Times New Roman"/>
                <w:bCs/>
                <w:color w:val="auto"/>
              </w:rPr>
            </w:pPr>
            <w:r>
              <w:rPr>
                <w:rFonts w:ascii="Times New Roman" w:hAnsi="Times New Roman"/>
                <w:bCs/>
                <w:color w:val="auto"/>
              </w:rPr>
              <w:t>一等果</w:t>
            </w:r>
          </w:p>
        </w:tc>
        <w:tc>
          <w:tcPr>
            <w:tcW w:w="2699" w:type="dxa"/>
            <w:vAlign w:val="center"/>
          </w:tcPr>
          <w:p w14:paraId="0088759D">
            <w:pPr>
              <w:snapToGrid w:val="0"/>
              <w:spacing w:line="240" w:lineRule="auto"/>
              <w:jc w:val="center"/>
              <w:rPr>
                <w:rFonts w:ascii="Times New Roman" w:hAnsi="Times New Roman"/>
                <w:bCs/>
                <w:color w:val="auto"/>
              </w:rPr>
            </w:pPr>
            <w:r>
              <w:rPr>
                <w:rFonts w:ascii="Times New Roman" w:hAnsi="Times New Roman"/>
                <w:bCs/>
                <w:color w:val="auto"/>
              </w:rPr>
              <w:t>二等果</w:t>
            </w:r>
          </w:p>
        </w:tc>
      </w:tr>
      <w:tr w14:paraId="2542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 w:hRule="atLeast"/>
          <w:jc w:val="center"/>
        </w:trPr>
        <w:tc>
          <w:tcPr>
            <w:tcW w:w="1555" w:type="dxa"/>
            <w:vAlign w:val="center"/>
          </w:tcPr>
          <w:p w14:paraId="08728342">
            <w:pPr>
              <w:snapToGrid w:val="0"/>
              <w:spacing w:line="240" w:lineRule="auto"/>
              <w:jc w:val="center"/>
              <w:rPr>
                <w:rFonts w:ascii="Times New Roman" w:hAnsi="Times New Roman"/>
                <w:bCs/>
                <w:color w:val="auto"/>
              </w:rPr>
            </w:pPr>
            <w:r>
              <w:rPr>
                <w:rFonts w:hint="eastAsia" w:ascii="Times New Roman" w:hAnsi="Times New Roman"/>
                <w:bCs/>
                <w:color w:val="auto"/>
              </w:rPr>
              <w:t>基本要求</w:t>
            </w:r>
          </w:p>
        </w:tc>
        <w:tc>
          <w:tcPr>
            <w:tcW w:w="7660" w:type="dxa"/>
            <w:gridSpan w:val="3"/>
            <w:vAlign w:val="center"/>
          </w:tcPr>
          <w:p w14:paraId="6047202D">
            <w:pPr>
              <w:pStyle w:val="166"/>
              <w:numPr>
                <w:ilvl w:val="0"/>
                <w:numId w:val="0"/>
              </w:numPr>
              <w:rPr>
                <w:color w:val="auto"/>
              </w:rPr>
            </w:pPr>
            <w:r>
              <w:rPr>
                <w:rFonts w:hint="eastAsia"/>
                <w:color w:val="auto"/>
              </w:rPr>
              <w:t>果实完整良好，新鲜洁净，无腐烂、无异味或非正常风味。</w:t>
            </w:r>
          </w:p>
          <w:p w14:paraId="3E00B782">
            <w:pPr>
              <w:pStyle w:val="231"/>
              <w:spacing w:after="120" w:afterLines="50" w:line="260" w:lineRule="exact"/>
              <w:ind w:firstLine="0" w:firstLineChars="0"/>
              <w:jc w:val="left"/>
              <w:rPr>
                <w:rFonts w:hint="eastAsia" w:hAnsi="宋体"/>
                <w:color w:val="auto"/>
                <w:sz w:val="20"/>
                <w:szCs w:val="20"/>
                <w:highlight w:val="yellow"/>
              </w:rPr>
            </w:pPr>
            <w:r>
              <w:rPr>
                <w:rFonts w:hAnsi="宋体"/>
                <w:color w:val="auto"/>
                <w:sz w:val="20"/>
                <w:szCs w:val="20"/>
              </w:rPr>
              <w:t>无严重病虫果、无裂果、霉心、病斑、虫伤、日灼伤，无非正常外来水分。具有适于市场销售、贮藏或加工要求的成熟度，不应过早采收。</w:t>
            </w:r>
          </w:p>
        </w:tc>
      </w:tr>
      <w:tr w14:paraId="0182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1555" w:type="dxa"/>
            <w:vAlign w:val="center"/>
          </w:tcPr>
          <w:p w14:paraId="4C612501">
            <w:pPr>
              <w:snapToGrid w:val="0"/>
              <w:spacing w:line="240" w:lineRule="auto"/>
              <w:jc w:val="center"/>
              <w:rPr>
                <w:rFonts w:ascii="Times New Roman" w:hAnsi="Times New Roman"/>
                <w:bCs/>
                <w:color w:val="auto"/>
              </w:rPr>
            </w:pPr>
            <w:r>
              <w:rPr>
                <w:rFonts w:ascii="Times New Roman" w:hAnsi="Times New Roman"/>
                <w:bCs/>
                <w:color w:val="auto"/>
              </w:rPr>
              <w:t>果形</w:t>
            </w:r>
          </w:p>
        </w:tc>
        <w:tc>
          <w:tcPr>
            <w:tcW w:w="2693" w:type="dxa"/>
            <w:vAlign w:val="center"/>
          </w:tcPr>
          <w:p w14:paraId="43FB2656">
            <w:pPr>
              <w:snapToGrid w:val="0"/>
              <w:spacing w:line="240" w:lineRule="auto"/>
              <w:jc w:val="center"/>
              <w:rPr>
                <w:rFonts w:ascii="Times New Roman" w:hAnsi="Times New Roman"/>
                <w:bCs/>
                <w:color w:val="auto"/>
              </w:rPr>
            </w:pPr>
            <w:r>
              <w:rPr>
                <w:rFonts w:ascii="Times New Roman" w:hAnsi="Times New Roman"/>
                <w:bCs/>
                <w:color w:val="auto"/>
              </w:rPr>
              <w:t>具有本品种应有的特征，果形端正</w:t>
            </w:r>
          </w:p>
        </w:tc>
        <w:tc>
          <w:tcPr>
            <w:tcW w:w="2268" w:type="dxa"/>
            <w:vAlign w:val="center"/>
          </w:tcPr>
          <w:p w14:paraId="50EF4BF7">
            <w:pPr>
              <w:snapToGrid w:val="0"/>
              <w:spacing w:line="240" w:lineRule="auto"/>
              <w:jc w:val="center"/>
              <w:rPr>
                <w:rFonts w:ascii="Times New Roman" w:hAnsi="Times New Roman"/>
                <w:bCs/>
                <w:color w:val="auto"/>
              </w:rPr>
            </w:pPr>
            <w:r>
              <w:rPr>
                <w:rFonts w:ascii="Times New Roman" w:hAnsi="Times New Roman"/>
                <w:bCs/>
                <w:color w:val="auto"/>
              </w:rPr>
              <w:t>具有本品种应有的特征</w:t>
            </w:r>
          </w:p>
        </w:tc>
        <w:tc>
          <w:tcPr>
            <w:tcW w:w="2699" w:type="dxa"/>
            <w:vAlign w:val="center"/>
          </w:tcPr>
          <w:p w14:paraId="28F96171">
            <w:pPr>
              <w:snapToGrid w:val="0"/>
              <w:spacing w:line="240" w:lineRule="auto"/>
              <w:jc w:val="center"/>
              <w:rPr>
                <w:rFonts w:ascii="Times New Roman" w:hAnsi="Times New Roman"/>
                <w:bCs/>
                <w:color w:val="auto"/>
              </w:rPr>
            </w:pPr>
            <w:r>
              <w:rPr>
                <w:rFonts w:ascii="Times New Roman" w:hAnsi="Times New Roman"/>
                <w:bCs/>
                <w:color w:val="auto"/>
              </w:rPr>
              <w:t>允许轻微偏斜</w:t>
            </w:r>
            <w:r>
              <w:rPr>
                <w:rFonts w:hint="eastAsia" w:ascii="Times New Roman" w:hAnsi="Times New Roman"/>
                <w:bCs/>
                <w:color w:val="auto"/>
              </w:rPr>
              <w:t>；</w:t>
            </w:r>
            <w:r>
              <w:rPr>
                <w:rFonts w:ascii="Times New Roman" w:hAnsi="Times New Roman"/>
                <w:bCs/>
                <w:color w:val="auto"/>
              </w:rPr>
              <w:t>允许果肩最大高低差≤0.5 cm</w:t>
            </w:r>
          </w:p>
        </w:tc>
      </w:tr>
      <w:tr w14:paraId="019A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555" w:type="dxa"/>
            <w:vAlign w:val="center"/>
          </w:tcPr>
          <w:p w14:paraId="07C285FD">
            <w:pPr>
              <w:snapToGrid w:val="0"/>
              <w:spacing w:line="240" w:lineRule="auto"/>
              <w:jc w:val="center"/>
              <w:rPr>
                <w:rFonts w:ascii="Times New Roman" w:hAnsi="Times New Roman"/>
                <w:bCs/>
                <w:color w:val="auto"/>
              </w:rPr>
            </w:pPr>
            <w:r>
              <w:rPr>
                <w:rFonts w:ascii="Times New Roman" w:hAnsi="Times New Roman"/>
                <w:bCs/>
                <w:color w:val="auto"/>
              </w:rPr>
              <w:t>果形指数</w:t>
            </w:r>
          </w:p>
        </w:tc>
        <w:tc>
          <w:tcPr>
            <w:tcW w:w="2693" w:type="dxa"/>
            <w:vAlign w:val="center"/>
          </w:tcPr>
          <w:p w14:paraId="00F82030">
            <w:pPr>
              <w:snapToGrid w:val="0"/>
              <w:spacing w:line="240" w:lineRule="auto"/>
              <w:jc w:val="center"/>
              <w:rPr>
                <w:rFonts w:ascii="Times New Roman" w:hAnsi="Times New Roman"/>
                <w:bCs/>
                <w:color w:val="auto"/>
              </w:rPr>
            </w:pPr>
            <w:r>
              <w:rPr>
                <w:rFonts w:ascii="Times New Roman" w:hAnsi="Times New Roman"/>
                <w:bCs/>
                <w:color w:val="auto"/>
              </w:rPr>
              <w:t>0.85</w:t>
            </w:r>
            <w:r>
              <w:rPr>
                <w:rFonts w:ascii="Times New Roman" w:hAnsi="Times New Roman" w:eastAsia="微软雅黑"/>
                <w:bCs/>
                <w:color w:val="auto"/>
              </w:rPr>
              <w:t>～</w:t>
            </w:r>
            <w:r>
              <w:rPr>
                <w:rFonts w:ascii="Times New Roman" w:hAnsi="Times New Roman"/>
                <w:bCs/>
                <w:color w:val="auto"/>
              </w:rPr>
              <w:t>0.95</w:t>
            </w:r>
          </w:p>
        </w:tc>
        <w:tc>
          <w:tcPr>
            <w:tcW w:w="2268" w:type="dxa"/>
            <w:vAlign w:val="center"/>
          </w:tcPr>
          <w:p w14:paraId="47E657A6">
            <w:pPr>
              <w:snapToGrid w:val="0"/>
              <w:spacing w:line="240" w:lineRule="auto"/>
              <w:jc w:val="center"/>
              <w:rPr>
                <w:rFonts w:ascii="Times New Roman" w:hAnsi="Times New Roman"/>
                <w:bCs/>
                <w:color w:val="auto"/>
              </w:rPr>
            </w:pPr>
            <w:r>
              <w:rPr>
                <w:rFonts w:ascii="Times New Roman" w:hAnsi="Times New Roman"/>
                <w:bCs/>
                <w:color w:val="auto"/>
              </w:rPr>
              <w:t>0.85</w:t>
            </w:r>
            <w:r>
              <w:rPr>
                <w:rFonts w:ascii="Times New Roman" w:hAnsi="Times New Roman" w:eastAsia="微软雅黑"/>
                <w:bCs/>
                <w:color w:val="auto"/>
              </w:rPr>
              <w:t>～</w:t>
            </w:r>
            <w:r>
              <w:rPr>
                <w:rFonts w:ascii="Times New Roman" w:hAnsi="Times New Roman"/>
                <w:bCs/>
                <w:color w:val="auto"/>
              </w:rPr>
              <w:t>0.95</w:t>
            </w:r>
          </w:p>
        </w:tc>
        <w:tc>
          <w:tcPr>
            <w:tcW w:w="2699" w:type="dxa"/>
            <w:vAlign w:val="center"/>
          </w:tcPr>
          <w:p w14:paraId="24FF76BC">
            <w:pPr>
              <w:snapToGrid w:val="0"/>
              <w:spacing w:line="240" w:lineRule="auto"/>
              <w:jc w:val="center"/>
              <w:rPr>
                <w:rFonts w:ascii="Times New Roman" w:hAnsi="Times New Roman"/>
                <w:bCs/>
                <w:color w:val="auto"/>
              </w:rPr>
            </w:pPr>
            <w:r>
              <w:rPr>
                <w:rFonts w:ascii="Times New Roman" w:hAnsi="Times New Roman"/>
                <w:bCs/>
                <w:color w:val="auto"/>
              </w:rPr>
              <w:t>0.80</w:t>
            </w:r>
            <w:r>
              <w:rPr>
                <w:rFonts w:ascii="Times New Roman" w:hAnsi="Times New Roman" w:eastAsia="微软雅黑"/>
                <w:bCs/>
                <w:color w:val="auto"/>
              </w:rPr>
              <w:t>～</w:t>
            </w:r>
            <w:r>
              <w:rPr>
                <w:rFonts w:ascii="Times New Roman" w:hAnsi="Times New Roman"/>
                <w:bCs/>
                <w:color w:val="auto"/>
              </w:rPr>
              <w:t>0.95</w:t>
            </w:r>
          </w:p>
        </w:tc>
      </w:tr>
      <w:tr w14:paraId="1E6C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555" w:type="dxa"/>
            <w:vAlign w:val="center"/>
          </w:tcPr>
          <w:p w14:paraId="6C25A092">
            <w:pPr>
              <w:snapToGrid w:val="0"/>
              <w:spacing w:line="240" w:lineRule="auto"/>
              <w:jc w:val="center"/>
              <w:rPr>
                <w:rFonts w:ascii="Times New Roman" w:hAnsi="Times New Roman"/>
                <w:bCs/>
                <w:color w:val="auto"/>
              </w:rPr>
            </w:pPr>
            <w:r>
              <w:rPr>
                <w:rFonts w:hint="eastAsia" w:ascii="Times New Roman" w:hAnsi="Times New Roman"/>
                <w:bCs/>
                <w:color w:val="auto"/>
              </w:rPr>
              <w:t>果面缺陷</w:t>
            </w:r>
          </w:p>
        </w:tc>
        <w:tc>
          <w:tcPr>
            <w:tcW w:w="2693" w:type="dxa"/>
            <w:vAlign w:val="center"/>
          </w:tcPr>
          <w:p w14:paraId="3CC1F2C8">
            <w:pPr>
              <w:snapToGrid w:val="0"/>
              <w:spacing w:line="240" w:lineRule="auto"/>
              <w:jc w:val="center"/>
              <w:rPr>
                <w:rFonts w:ascii="Times New Roman" w:hAnsi="Times New Roman"/>
                <w:bCs/>
                <w:color w:val="auto"/>
              </w:rPr>
            </w:pPr>
            <w:r>
              <w:rPr>
                <w:rFonts w:hint="eastAsia" w:ascii="Times New Roman" w:hAnsi="Times New Roman"/>
                <w:bCs/>
                <w:color w:val="auto"/>
              </w:rPr>
              <w:t>无雹伤；</w:t>
            </w:r>
            <w:r>
              <w:rPr>
                <w:rFonts w:ascii="Times New Roman" w:hAnsi="Times New Roman"/>
                <w:bCs/>
                <w:color w:val="auto"/>
              </w:rPr>
              <w:t>允许轻微而分离、不明显的平滑网状锈斑，总面积≤果面的1/20</w:t>
            </w:r>
          </w:p>
        </w:tc>
        <w:tc>
          <w:tcPr>
            <w:tcW w:w="2268" w:type="dxa"/>
            <w:vAlign w:val="center"/>
          </w:tcPr>
          <w:p w14:paraId="278B6620">
            <w:pPr>
              <w:snapToGrid w:val="0"/>
              <w:spacing w:line="240" w:lineRule="auto"/>
              <w:jc w:val="left"/>
              <w:rPr>
                <w:rFonts w:ascii="Times New Roman" w:hAnsi="Times New Roman"/>
                <w:bCs/>
                <w:color w:val="auto"/>
              </w:rPr>
            </w:pPr>
            <w:r>
              <w:rPr>
                <w:rFonts w:hint="eastAsia" w:ascii="Times New Roman" w:hAnsi="Times New Roman"/>
                <w:bCs/>
                <w:color w:val="auto"/>
              </w:rPr>
              <w:t>无雹伤；</w:t>
            </w:r>
            <w:r>
              <w:rPr>
                <w:rFonts w:ascii="Times New Roman" w:hAnsi="Times New Roman"/>
                <w:bCs/>
                <w:color w:val="auto"/>
              </w:rPr>
              <w:t>允许梗洼或萼洼轻微锈斑；允许果面轻微平滑网状锈斑，总面积≤果面的1/10</w:t>
            </w:r>
          </w:p>
        </w:tc>
        <w:tc>
          <w:tcPr>
            <w:tcW w:w="2699" w:type="dxa"/>
            <w:vAlign w:val="center"/>
          </w:tcPr>
          <w:p w14:paraId="57012411">
            <w:pPr>
              <w:snapToGrid w:val="0"/>
              <w:spacing w:line="240" w:lineRule="auto"/>
              <w:jc w:val="left"/>
              <w:rPr>
                <w:rFonts w:ascii="Times New Roman" w:hAnsi="Times New Roman"/>
                <w:bCs/>
                <w:color w:val="auto"/>
              </w:rPr>
            </w:pPr>
            <w:r>
              <w:rPr>
                <w:rFonts w:ascii="Times New Roman" w:hAnsi="Times New Roman"/>
                <w:bCs/>
                <w:color w:val="auto"/>
              </w:rPr>
              <w:t>允许愈合良好的轻微雹伤≤3处，总面积≤1.0 cm²</w:t>
            </w:r>
            <w:r>
              <w:rPr>
                <w:rFonts w:hint="eastAsia" w:ascii="Times New Roman" w:hAnsi="Times New Roman"/>
                <w:bCs/>
                <w:color w:val="auto"/>
              </w:rPr>
              <w:t>；</w:t>
            </w:r>
            <w:r>
              <w:rPr>
                <w:rFonts w:ascii="Times New Roman" w:hAnsi="Times New Roman"/>
                <w:bCs/>
                <w:color w:val="auto"/>
              </w:rPr>
              <w:t>允许较轻锈斑，总面积≤果面的1/5</w:t>
            </w:r>
            <w:r>
              <w:rPr>
                <w:rFonts w:hint="eastAsia" w:ascii="Times New Roman" w:hAnsi="Times New Roman"/>
                <w:bCs/>
                <w:color w:val="auto"/>
              </w:rPr>
              <w:t>；</w:t>
            </w:r>
            <w:r>
              <w:rPr>
                <w:rFonts w:ascii="Times New Roman" w:hAnsi="Times New Roman"/>
                <w:bCs/>
                <w:color w:val="auto"/>
              </w:rPr>
              <w:t>允许轻微碰压伤1处，果皮不变褐，面积≤0.5 cm²；允许轻微磨伤1处，面积≤0.5 cm²；允许浅褐色或褐色轻微日灼，面积≤1.0 cm²；允许干枯虫伤，总面积≤1.0 cm²；允许小疵点、小红点、小黑点和风裂纹总数≤3个；</w:t>
            </w:r>
          </w:p>
        </w:tc>
      </w:tr>
      <w:tr w14:paraId="7CA8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1555" w:type="dxa"/>
            <w:vAlign w:val="center"/>
          </w:tcPr>
          <w:p w14:paraId="362A6A89">
            <w:pPr>
              <w:snapToGrid w:val="0"/>
              <w:spacing w:line="240" w:lineRule="auto"/>
              <w:jc w:val="center"/>
              <w:rPr>
                <w:rFonts w:ascii="Times New Roman" w:hAnsi="Times New Roman"/>
                <w:bCs/>
                <w:color w:val="auto"/>
              </w:rPr>
            </w:pPr>
            <w:r>
              <w:rPr>
                <w:rFonts w:ascii="Times New Roman" w:hAnsi="Times New Roman"/>
                <w:bCs/>
                <w:color w:val="auto"/>
              </w:rPr>
              <w:t>着色</w:t>
            </w:r>
          </w:p>
        </w:tc>
        <w:tc>
          <w:tcPr>
            <w:tcW w:w="2693" w:type="dxa"/>
            <w:vAlign w:val="center"/>
          </w:tcPr>
          <w:p w14:paraId="08357C78">
            <w:pPr>
              <w:snapToGrid w:val="0"/>
              <w:spacing w:line="240" w:lineRule="auto"/>
              <w:jc w:val="left"/>
              <w:rPr>
                <w:rFonts w:ascii="Times New Roman" w:hAnsi="Times New Roman"/>
                <w:bCs/>
                <w:color w:val="auto"/>
              </w:rPr>
            </w:pPr>
            <w:r>
              <w:rPr>
                <w:rFonts w:ascii="Times New Roman" w:hAnsi="Times New Roman"/>
                <w:bCs/>
                <w:color w:val="auto"/>
              </w:rPr>
              <w:t>条纹着色鲜明，有效着色面积≥85%</w:t>
            </w:r>
          </w:p>
        </w:tc>
        <w:tc>
          <w:tcPr>
            <w:tcW w:w="2268" w:type="dxa"/>
            <w:vAlign w:val="center"/>
          </w:tcPr>
          <w:p w14:paraId="20B55CA9">
            <w:pPr>
              <w:snapToGrid w:val="0"/>
              <w:spacing w:line="240" w:lineRule="auto"/>
              <w:jc w:val="left"/>
              <w:rPr>
                <w:rFonts w:ascii="Times New Roman" w:hAnsi="Times New Roman"/>
                <w:bCs/>
                <w:color w:val="auto"/>
              </w:rPr>
            </w:pPr>
            <w:r>
              <w:rPr>
                <w:rFonts w:ascii="Times New Roman" w:hAnsi="Times New Roman"/>
                <w:bCs/>
                <w:color w:val="auto"/>
              </w:rPr>
              <w:t>条纹着色较鲜明，有效着色面积≥70%</w:t>
            </w:r>
          </w:p>
        </w:tc>
        <w:tc>
          <w:tcPr>
            <w:tcW w:w="2699" w:type="dxa"/>
            <w:vAlign w:val="center"/>
          </w:tcPr>
          <w:p w14:paraId="320BA4C0">
            <w:pPr>
              <w:snapToGrid w:val="0"/>
              <w:spacing w:line="240" w:lineRule="auto"/>
              <w:jc w:val="center"/>
              <w:rPr>
                <w:rFonts w:ascii="Times New Roman" w:hAnsi="Times New Roman"/>
                <w:bCs/>
                <w:color w:val="auto"/>
              </w:rPr>
            </w:pPr>
            <w:r>
              <w:rPr>
                <w:rFonts w:ascii="Times New Roman" w:hAnsi="Times New Roman"/>
                <w:bCs/>
                <w:color w:val="auto"/>
              </w:rPr>
              <w:t>有效着色面积≥60%</w:t>
            </w:r>
          </w:p>
        </w:tc>
      </w:tr>
      <w:tr w14:paraId="339A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555" w:type="dxa"/>
            <w:vAlign w:val="center"/>
          </w:tcPr>
          <w:p w14:paraId="19CA5DFE">
            <w:pPr>
              <w:snapToGrid w:val="0"/>
              <w:spacing w:line="240" w:lineRule="auto"/>
              <w:jc w:val="center"/>
              <w:rPr>
                <w:rFonts w:ascii="Times New Roman" w:hAnsi="Times New Roman"/>
                <w:bCs/>
                <w:color w:val="auto"/>
              </w:rPr>
            </w:pPr>
            <w:r>
              <w:rPr>
                <w:rFonts w:ascii="Times New Roman" w:hAnsi="Times New Roman"/>
                <w:bCs/>
                <w:color w:val="auto"/>
              </w:rPr>
              <w:t>果实硬度（kg/cm²）</w:t>
            </w:r>
          </w:p>
        </w:tc>
        <w:tc>
          <w:tcPr>
            <w:tcW w:w="2693" w:type="dxa"/>
            <w:vAlign w:val="center"/>
          </w:tcPr>
          <w:p w14:paraId="26C65897">
            <w:pPr>
              <w:snapToGrid w:val="0"/>
              <w:spacing w:line="240" w:lineRule="auto"/>
              <w:jc w:val="center"/>
              <w:rPr>
                <w:rFonts w:ascii="Times New Roman" w:hAnsi="Times New Roman"/>
                <w:bCs/>
                <w:color w:val="auto"/>
              </w:rPr>
            </w:pPr>
            <w:r>
              <w:rPr>
                <w:rFonts w:ascii="Times New Roman" w:hAnsi="Times New Roman"/>
                <w:bCs/>
                <w:color w:val="auto"/>
              </w:rPr>
              <w:t>≥7.0</w:t>
            </w:r>
          </w:p>
        </w:tc>
        <w:tc>
          <w:tcPr>
            <w:tcW w:w="2268" w:type="dxa"/>
            <w:vAlign w:val="center"/>
          </w:tcPr>
          <w:p w14:paraId="5723E0C9">
            <w:pPr>
              <w:snapToGrid w:val="0"/>
              <w:spacing w:line="240" w:lineRule="auto"/>
              <w:jc w:val="center"/>
              <w:rPr>
                <w:rFonts w:ascii="Times New Roman" w:hAnsi="Times New Roman"/>
                <w:bCs/>
                <w:color w:val="auto"/>
              </w:rPr>
            </w:pPr>
            <w:r>
              <w:rPr>
                <w:rFonts w:ascii="Times New Roman" w:hAnsi="Times New Roman"/>
                <w:bCs/>
                <w:color w:val="auto"/>
              </w:rPr>
              <w:t>≥6.5</w:t>
            </w:r>
          </w:p>
        </w:tc>
        <w:tc>
          <w:tcPr>
            <w:tcW w:w="2699" w:type="dxa"/>
            <w:vAlign w:val="center"/>
          </w:tcPr>
          <w:p w14:paraId="2AC65BAF">
            <w:pPr>
              <w:snapToGrid w:val="0"/>
              <w:spacing w:line="240" w:lineRule="auto"/>
              <w:jc w:val="center"/>
              <w:rPr>
                <w:rFonts w:ascii="Times New Roman" w:hAnsi="Times New Roman"/>
                <w:bCs/>
                <w:color w:val="auto"/>
              </w:rPr>
            </w:pPr>
            <w:r>
              <w:rPr>
                <w:rFonts w:ascii="Times New Roman" w:hAnsi="Times New Roman"/>
                <w:bCs/>
                <w:color w:val="auto"/>
              </w:rPr>
              <w:t>≥6.0</w:t>
            </w:r>
          </w:p>
        </w:tc>
      </w:tr>
      <w:tr w14:paraId="291D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555" w:type="dxa"/>
            <w:tcBorders>
              <w:bottom w:val="single" w:color="auto" w:sz="4" w:space="0"/>
            </w:tcBorders>
            <w:vAlign w:val="center"/>
          </w:tcPr>
          <w:p w14:paraId="72D412DF">
            <w:pPr>
              <w:snapToGrid w:val="0"/>
              <w:spacing w:line="240" w:lineRule="auto"/>
              <w:jc w:val="center"/>
              <w:rPr>
                <w:rFonts w:ascii="Times New Roman" w:hAnsi="Times New Roman"/>
                <w:bCs/>
                <w:color w:val="auto"/>
              </w:rPr>
            </w:pPr>
            <w:r>
              <w:rPr>
                <w:rFonts w:ascii="Times New Roman" w:hAnsi="Times New Roman"/>
                <w:bCs/>
                <w:color w:val="auto"/>
              </w:rPr>
              <w:t>可溶性固形物</w:t>
            </w:r>
            <w:r>
              <w:rPr>
                <w:rFonts w:hint="eastAsia" w:ascii="Times New Roman" w:hAnsi="Times New Roman"/>
                <w:bCs/>
                <w:color w:val="auto"/>
              </w:rPr>
              <w:t>含量</w:t>
            </w:r>
          </w:p>
        </w:tc>
        <w:tc>
          <w:tcPr>
            <w:tcW w:w="2693" w:type="dxa"/>
            <w:tcBorders>
              <w:bottom w:val="single" w:color="auto" w:sz="4" w:space="0"/>
            </w:tcBorders>
            <w:vAlign w:val="center"/>
          </w:tcPr>
          <w:p w14:paraId="3A19EBAB">
            <w:pPr>
              <w:snapToGrid w:val="0"/>
              <w:spacing w:line="240" w:lineRule="auto"/>
              <w:jc w:val="center"/>
              <w:rPr>
                <w:rFonts w:ascii="Times New Roman" w:hAnsi="Times New Roman"/>
                <w:bCs/>
                <w:color w:val="auto"/>
              </w:rPr>
            </w:pPr>
            <w:r>
              <w:rPr>
                <w:rFonts w:ascii="Times New Roman" w:hAnsi="Times New Roman"/>
                <w:bCs/>
                <w:color w:val="auto"/>
              </w:rPr>
              <w:t>≥13.0</w:t>
            </w:r>
            <w:r>
              <w:rPr>
                <w:rFonts w:hint="eastAsia" w:ascii="Times New Roman" w:hAnsi="Times New Roman"/>
                <w:bCs/>
                <w:color w:val="auto"/>
              </w:rPr>
              <w:t>%</w:t>
            </w:r>
          </w:p>
        </w:tc>
        <w:tc>
          <w:tcPr>
            <w:tcW w:w="2268" w:type="dxa"/>
            <w:tcBorders>
              <w:bottom w:val="single" w:color="auto" w:sz="4" w:space="0"/>
            </w:tcBorders>
            <w:vAlign w:val="center"/>
          </w:tcPr>
          <w:p w14:paraId="7C73948B">
            <w:pPr>
              <w:snapToGrid w:val="0"/>
              <w:spacing w:line="240" w:lineRule="auto"/>
              <w:jc w:val="center"/>
              <w:rPr>
                <w:rFonts w:ascii="Times New Roman" w:hAnsi="Times New Roman"/>
                <w:bCs/>
                <w:color w:val="auto"/>
              </w:rPr>
            </w:pPr>
            <w:r>
              <w:rPr>
                <w:rFonts w:ascii="Times New Roman" w:hAnsi="Times New Roman"/>
                <w:bCs/>
                <w:color w:val="auto"/>
              </w:rPr>
              <w:t>≥13.0</w:t>
            </w:r>
            <w:r>
              <w:rPr>
                <w:rFonts w:hint="eastAsia" w:ascii="Times New Roman" w:hAnsi="Times New Roman"/>
                <w:bCs/>
                <w:color w:val="auto"/>
              </w:rPr>
              <w:t>%</w:t>
            </w:r>
          </w:p>
        </w:tc>
        <w:tc>
          <w:tcPr>
            <w:tcW w:w="2699" w:type="dxa"/>
            <w:tcBorders>
              <w:bottom w:val="single" w:color="auto" w:sz="4" w:space="0"/>
            </w:tcBorders>
            <w:vAlign w:val="center"/>
          </w:tcPr>
          <w:p w14:paraId="5486E80B">
            <w:pPr>
              <w:snapToGrid w:val="0"/>
              <w:spacing w:line="240" w:lineRule="auto"/>
              <w:jc w:val="center"/>
              <w:rPr>
                <w:rFonts w:ascii="Times New Roman" w:hAnsi="Times New Roman"/>
                <w:bCs/>
                <w:color w:val="auto"/>
              </w:rPr>
            </w:pPr>
            <w:r>
              <w:rPr>
                <w:rFonts w:ascii="Times New Roman" w:hAnsi="Times New Roman"/>
                <w:bCs/>
                <w:color w:val="auto"/>
              </w:rPr>
              <w:t>≥12.0</w:t>
            </w:r>
            <w:r>
              <w:rPr>
                <w:rFonts w:hint="eastAsia" w:ascii="Times New Roman" w:hAnsi="Times New Roman"/>
                <w:bCs/>
                <w:color w:val="auto"/>
              </w:rPr>
              <w:t>%</w:t>
            </w:r>
          </w:p>
        </w:tc>
      </w:tr>
      <w:tr w14:paraId="08FDD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555" w:type="dxa"/>
            <w:vAlign w:val="center"/>
          </w:tcPr>
          <w:p w14:paraId="66C5EE9E">
            <w:pPr>
              <w:snapToGrid w:val="0"/>
              <w:spacing w:line="240" w:lineRule="auto"/>
              <w:jc w:val="center"/>
              <w:rPr>
                <w:rFonts w:ascii="Times New Roman" w:hAnsi="Times New Roman"/>
                <w:bCs/>
                <w:color w:val="auto"/>
              </w:rPr>
            </w:pPr>
            <w:r>
              <w:rPr>
                <w:rFonts w:hint="eastAsia" w:ascii="Times New Roman" w:hAnsi="Times New Roman"/>
                <w:bCs/>
                <w:color w:val="auto"/>
              </w:rPr>
              <w:t>总</w:t>
            </w:r>
            <w:r>
              <w:rPr>
                <w:rFonts w:ascii="Times New Roman" w:hAnsi="Times New Roman"/>
                <w:bCs/>
                <w:color w:val="auto"/>
              </w:rPr>
              <w:t>酸</w:t>
            </w:r>
            <w:r>
              <w:rPr>
                <w:rFonts w:hint="eastAsia" w:ascii="Times New Roman" w:hAnsi="Times New Roman"/>
                <w:bCs/>
                <w:color w:val="auto"/>
              </w:rPr>
              <w:t>含量</w:t>
            </w:r>
          </w:p>
        </w:tc>
        <w:tc>
          <w:tcPr>
            <w:tcW w:w="2693" w:type="dxa"/>
            <w:vAlign w:val="center"/>
          </w:tcPr>
          <w:p w14:paraId="18B0AF9E">
            <w:pPr>
              <w:snapToGrid w:val="0"/>
              <w:spacing w:line="240" w:lineRule="auto"/>
              <w:jc w:val="center"/>
              <w:rPr>
                <w:rFonts w:ascii="Times New Roman" w:hAnsi="Times New Roman"/>
                <w:bCs/>
                <w:color w:val="auto"/>
              </w:rPr>
            </w:pPr>
            <w:r>
              <w:rPr>
                <w:rFonts w:ascii="Times New Roman" w:hAnsi="Times New Roman"/>
                <w:bCs/>
                <w:color w:val="auto"/>
              </w:rPr>
              <w:t>0.25</w:t>
            </w:r>
            <w:r>
              <w:rPr>
                <w:rFonts w:hint="eastAsia" w:ascii="Times New Roman" w:hAnsi="Times New Roman"/>
                <w:bCs/>
                <w:color w:val="auto"/>
              </w:rPr>
              <w:t>%</w:t>
            </w:r>
            <w:r>
              <w:rPr>
                <w:rFonts w:ascii="Times New Roman" w:hAnsi="Times New Roman" w:eastAsia="微软雅黑"/>
                <w:bCs/>
                <w:color w:val="auto"/>
              </w:rPr>
              <w:t>～</w:t>
            </w:r>
            <w:r>
              <w:rPr>
                <w:rFonts w:ascii="Times New Roman" w:hAnsi="Times New Roman"/>
                <w:bCs/>
                <w:color w:val="auto"/>
              </w:rPr>
              <w:t>≤0.32</w:t>
            </w:r>
            <w:r>
              <w:rPr>
                <w:rFonts w:hint="eastAsia" w:ascii="Times New Roman" w:hAnsi="Times New Roman"/>
                <w:bCs/>
                <w:color w:val="auto"/>
              </w:rPr>
              <w:t>%</w:t>
            </w:r>
          </w:p>
        </w:tc>
        <w:tc>
          <w:tcPr>
            <w:tcW w:w="2268" w:type="dxa"/>
            <w:vAlign w:val="center"/>
          </w:tcPr>
          <w:p w14:paraId="06CC8FAD">
            <w:pPr>
              <w:snapToGrid w:val="0"/>
              <w:spacing w:line="240" w:lineRule="auto"/>
              <w:jc w:val="center"/>
              <w:rPr>
                <w:rFonts w:ascii="Times New Roman" w:hAnsi="Times New Roman"/>
                <w:bCs/>
                <w:color w:val="auto"/>
              </w:rPr>
            </w:pPr>
            <w:r>
              <w:rPr>
                <w:rFonts w:ascii="Times New Roman" w:hAnsi="Times New Roman"/>
                <w:bCs/>
                <w:color w:val="auto"/>
              </w:rPr>
              <w:t>0.25</w:t>
            </w:r>
            <w:r>
              <w:rPr>
                <w:rFonts w:hint="eastAsia" w:ascii="Times New Roman" w:hAnsi="Times New Roman"/>
                <w:bCs/>
                <w:color w:val="auto"/>
              </w:rPr>
              <w:t>%</w:t>
            </w:r>
            <w:r>
              <w:rPr>
                <w:rFonts w:ascii="Times New Roman" w:hAnsi="Times New Roman" w:eastAsia="微软雅黑"/>
                <w:bCs/>
                <w:color w:val="auto"/>
              </w:rPr>
              <w:t>～</w:t>
            </w:r>
            <w:r>
              <w:rPr>
                <w:rFonts w:ascii="Times New Roman" w:hAnsi="Times New Roman"/>
                <w:bCs/>
                <w:color w:val="auto"/>
              </w:rPr>
              <w:t>≤0.36</w:t>
            </w:r>
            <w:r>
              <w:rPr>
                <w:rFonts w:hint="eastAsia" w:ascii="Times New Roman" w:hAnsi="Times New Roman"/>
                <w:bCs/>
                <w:color w:val="auto"/>
              </w:rPr>
              <w:t>%</w:t>
            </w:r>
          </w:p>
        </w:tc>
        <w:tc>
          <w:tcPr>
            <w:tcW w:w="2699" w:type="dxa"/>
            <w:vAlign w:val="center"/>
          </w:tcPr>
          <w:p w14:paraId="3D18A320">
            <w:pPr>
              <w:snapToGrid w:val="0"/>
              <w:spacing w:line="240" w:lineRule="auto"/>
              <w:jc w:val="center"/>
              <w:rPr>
                <w:rFonts w:ascii="Times New Roman" w:hAnsi="Times New Roman"/>
                <w:bCs/>
                <w:color w:val="auto"/>
              </w:rPr>
            </w:pPr>
            <w:r>
              <w:rPr>
                <w:rFonts w:ascii="Times New Roman" w:hAnsi="Times New Roman"/>
                <w:bCs/>
                <w:color w:val="auto"/>
              </w:rPr>
              <w:t>0.25</w:t>
            </w:r>
            <w:r>
              <w:rPr>
                <w:rFonts w:hint="eastAsia" w:ascii="Times New Roman" w:hAnsi="Times New Roman"/>
                <w:bCs/>
                <w:color w:val="auto"/>
              </w:rPr>
              <w:t>%</w:t>
            </w:r>
            <w:r>
              <w:rPr>
                <w:rFonts w:ascii="Times New Roman" w:hAnsi="Times New Roman" w:eastAsia="微软雅黑"/>
                <w:bCs/>
                <w:color w:val="auto"/>
              </w:rPr>
              <w:t>～</w:t>
            </w:r>
            <w:r>
              <w:rPr>
                <w:rFonts w:ascii="Times New Roman" w:hAnsi="Times New Roman"/>
                <w:bCs/>
                <w:color w:val="auto"/>
              </w:rPr>
              <w:t>≤0.40</w:t>
            </w:r>
            <w:r>
              <w:rPr>
                <w:rFonts w:hint="eastAsia" w:ascii="Times New Roman" w:hAnsi="Times New Roman"/>
                <w:bCs/>
                <w:color w:val="auto"/>
              </w:rPr>
              <w:t>%</w:t>
            </w:r>
          </w:p>
        </w:tc>
      </w:tr>
      <w:tr w14:paraId="33A7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1555" w:type="dxa"/>
            <w:vAlign w:val="center"/>
          </w:tcPr>
          <w:p w14:paraId="5765C48F">
            <w:pPr>
              <w:snapToGrid w:val="0"/>
              <w:spacing w:line="240" w:lineRule="auto"/>
              <w:jc w:val="center"/>
              <w:rPr>
                <w:rFonts w:ascii="Times New Roman" w:hAnsi="Times New Roman"/>
                <w:bCs/>
                <w:color w:val="auto"/>
              </w:rPr>
            </w:pPr>
            <w:r>
              <w:rPr>
                <w:rFonts w:ascii="Times New Roman" w:hAnsi="Times New Roman"/>
                <w:bCs/>
                <w:color w:val="auto"/>
              </w:rPr>
              <w:t>固酸比</w:t>
            </w:r>
          </w:p>
        </w:tc>
        <w:tc>
          <w:tcPr>
            <w:tcW w:w="2693" w:type="dxa"/>
            <w:vAlign w:val="center"/>
          </w:tcPr>
          <w:p w14:paraId="461EC5FC">
            <w:pPr>
              <w:snapToGrid w:val="0"/>
              <w:spacing w:line="240" w:lineRule="auto"/>
              <w:jc w:val="center"/>
              <w:rPr>
                <w:rFonts w:ascii="Times New Roman" w:hAnsi="Times New Roman"/>
                <w:bCs/>
                <w:color w:val="auto"/>
              </w:rPr>
            </w:pPr>
            <w:r>
              <w:rPr>
                <w:rFonts w:ascii="Times New Roman" w:hAnsi="Times New Roman"/>
                <w:bCs/>
                <w:color w:val="auto"/>
              </w:rPr>
              <w:t>≥40</w:t>
            </w:r>
          </w:p>
        </w:tc>
        <w:tc>
          <w:tcPr>
            <w:tcW w:w="2268" w:type="dxa"/>
            <w:vAlign w:val="center"/>
          </w:tcPr>
          <w:p w14:paraId="22FFDD64">
            <w:pPr>
              <w:snapToGrid w:val="0"/>
              <w:spacing w:line="240" w:lineRule="auto"/>
              <w:jc w:val="center"/>
              <w:rPr>
                <w:rFonts w:ascii="Times New Roman" w:hAnsi="Times New Roman"/>
                <w:bCs/>
                <w:color w:val="auto"/>
              </w:rPr>
            </w:pPr>
            <w:r>
              <w:rPr>
                <w:rFonts w:ascii="Times New Roman" w:hAnsi="Times New Roman"/>
                <w:bCs/>
                <w:color w:val="auto"/>
              </w:rPr>
              <w:t>≥36</w:t>
            </w:r>
          </w:p>
        </w:tc>
        <w:tc>
          <w:tcPr>
            <w:tcW w:w="2699" w:type="dxa"/>
            <w:vAlign w:val="center"/>
          </w:tcPr>
          <w:p w14:paraId="4E566187">
            <w:pPr>
              <w:snapToGrid w:val="0"/>
              <w:spacing w:line="240" w:lineRule="auto"/>
              <w:jc w:val="center"/>
              <w:rPr>
                <w:rFonts w:ascii="Times New Roman" w:hAnsi="Times New Roman"/>
                <w:bCs/>
                <w:color w:val="auto"/>
              </w:rPr>
            </w:pPr>
            <w:r>
              <w:rPr>
                <w:rFonts w:ascii="Times New Roman" w:hAnsi="Times New Roman"/>
                <w:bCs/>
                <w:color w:val="auto"/>
              </w:rPr>
              <w:t>≥30</w:t>
            </w:r>
          </w:p>
        </w:tc>
      </w:tr>
      <w:tr w14:paraId="335E6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1555" w:type="dxa"/>
            <w:tcBorders>
              <w:bottom w:val="single" w:color="auto" w:sz="4" w:space="0"/>
            </w:tcBorders>
            <w:vAlign w:val="center"/>
          </w:tcPr>
          <w:p w14:paraId="69ECF933">
            <w:pPr>
              <w:snapToGrid w:val="0"/>
              <w:spacing w:line="240" w:lineRule="auto"/>
              <w:jc w:val="center"/>
              <w:rPr>
                <w:rFonts w:ascii="Times New Roman" w:hAnsi="Times New Roman"/>
                <w:bCs/>
                <w:color w:val="auto"/>
              </w:rPr>
            </w:pPr>
            <w:r>
              <w:rPr>
                <w:rFonts w:hint="eastAsia" w:ascii="Times New Roman" w:hAnsi="Times New Roman"/>
                <w:bCs/>
                <w:color w:val="auto"/>
              </w:rPr>
              <w:t>横径</w:t>
            </w:r>
          </w:p>
        </w:tc>
        <w:tc>
          <w:tcPr>
            <w:tcW w:w="2693" w:type="dxa"/>
            <w:tcBorders>
              <w:bottom w:val="single" w:color="auto" w:sz="4" w:space="0"/>
            </w:tcBorders>
            <w:vAlign w:val="center"/>
          </w:tcPr>
          <w:p w14:paraId="327B5491">
            <w:pPr>
              <w:snapToGrid w:val="0"/>
              <w:spacing w:line="240" w:lineRule="auto"/>
              <w:jc w:val="center"/>
              <w:rPr>
                <w:rFonts w:ascii="Times New Roman" w:hAnsi="Times New Roman"/>
                <w:bCs/>
                <w:color w:val="auto"/>
              </w:rPr>
            </w:pPr>
            <w:r>
              <w:rPr>
                <w:rFonts w:ascii="Times New Roman" w:hAnsi="Times New Roman"/>
                <w:bCs/>
                <w:color w:val="auto"/>
              </w:rPr>
              <w:t>≥6</w:t>
            </w:r>
            <w:r>
              <w:rPr>
                <w:rFonts w:hint="eastAsia" w:ascii="Times New Roman" w:hAnsi="Times New Roman"/>
                <w:bCs/>
                <w:color w:val="auto"/>
              </w:rPr>
              <w:t>5，</w:t>
            </w:r>
            <w:r>
              <w:rPr>
                <w:rFonts w:ascii="Times New Roman" w:hAnsi="Times New Roman"/>
                <w:bCs/>
                <w:color w:val="auto"/>
              </w:rPr>
              <w:t>≤</w:t>
            </w:r>
            <w:r>
              <w:rPr>
                <w:rFonts w:hint="eastAsia" w:ascii="Times New Roman" w:hAnsi="Times New Roman"/>
                <w:bCs/>
                <w:color w:val="auto"/>
              </w:rPr>
              <w:t>75</w:t>
            </w:r>
          </w:p>
        </w:tc>
        <w:tc>
          <w:tcPr>
            <w:tcW w:w="2268" w:type="dxa"/>
            <w:tcBorders>
              <w:bottom w:val="single" w:color="auto" w:sz="4" w:space="0"/>
            </w:tcBorders>
            <w:vAlign w:val="center"/>
          </w:tcPr>
          <w:p w14:paraId="39A76E35">
            <w:pPr>
              <w:snapToGrid w:val="0"/>
              <w:spacing w:line="240" w:lineRule="auto"/>
              <w:jc w:val="center"/>
              <w:rPr>
                <w:rFonts w:ascii="Times New Roman" w:hAnsi="Times New Roman"/>
                <w:bCs/>
                <w:color w:val="auto"/>
              </w:rPr>
            </w:pPr>
            <w:r>
              <w:rPr>
                <w:rFonts w:ascii="Times New Roman" w:hAnsi="Times New Roman"/>
                <w:bCs/>
                <w:color w:val="auto"/>
              </w:rPr>
              <w:t>≥6</w:t>
            </w:r>
            <w:r>
              <w:rPr>
                <w:rFonts w:hint="eastAsia" w:ascii="Times New Roman" w:hAnsi="Times New Roman"/>
                <w:bCs/>
                <w:color w:val="auto"/>
              </w:rPr>
              <w:t>0，</w:t>
            </w:r>
            <w:r>
              <w:rPr>
                <w:rFonts w:ascii="Times New Roman" w:hAnsi="Times New Roman"/>
                <w:bCs/>
                <w:color w:val="auto"/>
              </w:rPr>
              <w:t>≤</w:t>
            </w:r>
            <w:r>
              <w:rPr>
                <w:rFonts w:hint="eastAsia" w:ascii="Times New Roman" w:hAnsi="Times New Roman"/>
                <w:bCs/>
                <w:color w:val="auto"/>
              </w:rPr>
              <w:t>75</w:t>
            </w:r>
          </w:p>
        </w:tc>
        <w:tc>
          <w:tcPr>
            <w:tcW w:w="2699" w:type="dxa"/>
            <w:tcBorders>
              <w:bottom w:val="single" w:color="auto" w:sz="4" w:space="0"/>
            </w:tcBorders>
            <w:vAlign w:val="center"/>
          </w:tcPr>
          <w:p w14:paraId="74A74199">
            <w:pPr>
              <w:snapToGrid w:val="0"/>
              <w:spacing w:line="240" w:lineRule="auto"/>
              <w:jc w:val="center"/>
              <w:rPr>
                <w:rFonts w:ascii="Times New Roman" w:hAnsi="Times New Roman"/>
                <w:bCs/>
                <w:color w:val="auto"/>
              </w:rPr>
            </w:pPr>
            <w:r>
              <w:rPr>
                <w:rFonts w:ascii="Times New Roman" w:hAnsi="Times New Roman"/>
                <w:bCs/>
                <w:color w:val="auto"/>
              </w:rPr>
              <w:t>≥6</w:t>
            </w:r>
            <w:r>
              <w:rPr>
                <w:rFonts w:hint="eastAsia" w:ascii="Times New Roman" w:hAnsi="Times New Roman"/>
                <w:bCs/>
                <w:color w:val="auto"/>
              </w:rPr>
              <w:t>0，</w:t>
            </w:r>
            <w:r>
              <w:rPr>
                <w:rFonts w:ascii="Times New Roman" w:hAnsi="Times New Roman"/>
                <w:bCs/>
                <w:color w:val="auto"/>
              </w:rPr>
              <w:t>≤</w:t>
            </w:r>
            <w:r>
              <w:rPr>
                <w:rFonts w:hint="eastAsia" w:ascii="Times New Roman" w:hAnsi="Times New Roman"/>
                <w:bCs/>
                <w:color w:val="auto"/>
              </w:rPr>
              <w:t>80</w:t>
            </w:r>
          </w:p>
        </w:tc>
      </w:tr>
    </w:tbl>
    <w:p w14:paraId="639465F6">
      <w:pPr>
        <w:pStyle w:val="106"/>
        <w:spacing w:before="120" w:after="120"/>
        <w:rPr>
          <w:color w:val="auto"/>
        </w:rPr>
      </w:pPr>
      <w:r>
        <w:rPr>
          <w:rFonts w:hint="eastAsia"/>
          <w:color w:val="auto"/>
        </w:rPr>
        <w:t>规格要求</w:t>
      </w:r>
    </w:p>
    <w:p w14:paraId="1D9CA62B">
      <w:pPr>
        <w:pStyle w:val="57"/>
        <w:ind w:firstLine="420"/>
        <w:rPr>
          <w:color w:val="auto"/>
        </w:rPr>
      </w:pPr>
      <w:r>
        <w:rPr>
          <w:rFonts w:hint="eastAsia"/>
          <w:color w:val="auto"/>
        </w:rPr>
        <w:t>嘎啦苹果按照果实横径分为特大果、大果、中果、小果四种规格，各规格要求应符合表3的要求。</w:t>
      </w:r>
    </w:p>
    <w:p w14:paraId="0B92D201">
      <w:pPr>
        <w:pStyle w:val="113"/>
        <w:spacing w:before="120" w:after="120"/>
        <w:rPr>
          <w:color w:val="auto"/>
        </w:rPr>
      </w:pPr>
      <w:r>
        <w:rPr>
          <w:rFonts w:hint="eastAsia"/>
          <w:color w:val="auto"/>
        </w:rPr>
        <w:t>规格要求</w:t>
      </w:r>
    </w:p>
    <w:tbl>
      <w:tblPr>
        <w:tblStyle w:val="27"/>
        <w:tblW w:w="90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14"/>
        <w:gridCol w:w="1814"/>
        <w:gridCol w:w="1814"/>
        <w:gridCol w:w="1814"/>
        <w:gridCol w:w="1814"/>
      </w:tblGrid>
      <w:tr w14:paraId="39878B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14" w:type="dxa"/>
            <w:vAlign w:val="center"/>
          </w:tcPr>
          <w:p w14:paraId="5DDE7B6B">
            <w:pPr>
              <w:spacing w:line="240" w:lineRule="auto"/>
              <w:jc w:val="center"/>
              <w:rPr>
                <w:rFonts w:ascii="Times New Roman" w:hAnsi="Times New Roman"/>
                <w:bCs/>
                <w:color w:val="auto"/>
              </w:rPr>
            </w:pPr>
            <w:r>
              <w:rPr>
                <w:rFonts w:ascii="Times New Roman" w:hAnsi="Times New Roman"/>
                <w:bCs/>
                <w:color w:val="auto"/>
              </w:rPr>
              <w:t>规格</w:t>
            </w:r>
          </w:p>
        </w:tc>
        <w:tc>
          <w:tcPr>
            <w:tcW w:w="1814" w:type="dxa"/>
            <w:vAlign w:val="center"/>
          </w:tcPr>
          <w:p w14:paraId="36907D50">
            <w:pPr>
              <w:spacing w:line="240" w:lineRule="auto"/>
              <w:jc w:val="center"/>
              <w:rPr>
                <w:rFonts w:ascii="Times New Roman" w:hAnsi="Times New Roman"/>
                <w:bCs/>
                <w:color w:val="auto"/>
              </w:rPr>
            </w:pPr>
            <w:r>
              <w:rPr>
                <w:rFonts w:ascii="Times New Roman" w:hAnsi="Times New Roman"/>
                <w:bCs/>
                <w:color w:val="auto"/>
              </w:rPr>
              <w:t>小</w:t>
            </w:r>
            <w:r>
              <w:rPr>
                <w:rFonts w:hint="eastAsia" w:ascii="Times New Roman" w:hAnsi="Times New Roman"/>
                <w:bCs/>
                <w:color w:val="auto"/>
              </w:rPr>
              <w:t>果</w:t>
            </w:r>
            <w:r>
              <w:rPr>
                <w:rFonts w:ascii="Times New Roman" w:hAnsi="Times New Roman"/>
                <w:bCs/>
                <w:color w:val="auto"/>
              </w:rPr>
              <w:t>（S）</w:t>
            </w:r>
          </w:p>
        </w:tc>
        <w:tc>
          <w:tcPr>
            <w:tcW w:w="1814" w:type="dxa"/>
            <w:vAlign w:val="center"/>
          </w:tcPr>
          <w:p w14:paraId="577C5EC7">
            <w:pPr>
              <w:spacing w:line="240" w:lineRule="auto"/>
              <w:jc w:val="center"/>
              <w:rPr>
                <w:rFonts w:ascii="Times New Roman" w:hAnsi="Times New Roman"/>
                <w:bCs/>
                <w:color w:val="auto"/>
              </w:rPr>
            </w:pPr>
            <w:r>
              <w:rPr>
                <w:rFonts w:hint="eastAsia" w:ascii="Times New Roman" w:hAnsi="Times New Roman"/>
                <w:bCs/>
                <w:color w:val="auto"/>
              </w:rPr>
              <w:t>中果</w:t>
            </w:r>
            <w:r>
              <w:rPr>
                <w:rFonts w:ascii="Times New Roman" w:hAnsi="Times New Roman"/>
                <w:bCs/>
                <w:color w:val="auto"/>
              </w:rPr>
              <w:t>（</w:t>
            </w:r>
            <w:r>
              <w:rPr>
                <w:rFonts w:hint="eastAsia" w:ascii="Times New Roman" w:hAnsi="Times New Roman"/>
                <w:bCs/>
                <w:color w:val="auto"/>
              </w:rPr>
              <w:t>M</w:t>
            </w:r>
            <w:r>
              <w:rPr>
                <w:rFonts w:ascii="Times New Roman" w:hAnsi="Times New Roman"/>
                <w:bCs/>
                <w:color w:val="auto"/>
              </w:rPr>
              <w:t>）</w:t>
            </w:r>
          </w:p>
        </w:tc>
        <w:tc>
          <w:tcPr>
            <w:tcW w:w="1814" w:type="dxa"/>
            <w:vAlign w:val="center"/>
          </w:tcPr>
          <w:p w14:paraId="30D58C20">
            <w:pPr>
              <w:spacing w:line="240" w:lineRule="auto"/>
              <w:jc w:val="center"/>
              <w:rPr>
                <w:rFonts w:ascii="Times New Roman" w:hAnsi="Times New Roman"/>
                <w:bCs/>
                <w:color w:val="auto"/>
              </w:rPr>
            </w:pPr>
            <w:r>
              <w:rPr>
                <w:rFonts w:hint="eastAsia" w:ascii="Times New Roman" w:hAnsi="Times New Roman"/>
                <w:bCs/>
                <w:color w:val="auto"/>
              </w:rPr>
              <w:t>大果</w:t>
            </w:r>
            <w:r>
              <w:rPr>
                <w:rFonts w:ascii="Times New Roman" w:hAnsi="Times New Roman"/>
                <w:bCs/>
                <w:color w:val="auto"/>
              </w:rPr>
              <w:t>（</w:t>
            </w:r>
            <w:r>
              <w:rPr>
                <w:rFonts w:hint="eastAsia" w:ascii="Times New Roman" w:hAnsi="Times New Roman"/>
                <w:bCs/>
                <w:color w:val="auto"/>
              </w:rPr>
              <w:t>L</w:t>
            </w:r>
            <w:r>
              <w:rPr>
                <w:rFonts w:ascii="Times New Roman" w:hAnsi="Times New Roman"/>
                <w:bCs/>
                <w:color w:val="auto"/>
              </w:rPr>
              <w:t>）</w:t>
            </w:r>
          </w:p>
        </w:tc>
        <w:tc>
          <w:tcPr>
            <w:tcW w:w="1814" w:type="dxa"/>
            <w:vAlign w:val="center"/>
          </w:tcPr>
          <w:p w14:paraId="78397F48">
            <w:pPr>
              <w:spacing w:line="240" w:lineRule="auto"/>
              <w:jc w:val="center"/>
              <w:rPr>
                <w:rFonts w:ascii="Times New Roman" w:hAnsi="Times New Roman"/>
                <w:bCs/>
                <w:color w:val="auto"/>
              </w:rPr>
            </w:pPr>
            <w:r>
              <w:rPr>
                <w:rFonts w:hint="eastAsia" w:ascii="Times New Roman" w:hAnsi="Times New Roman"/>
                <w:bCs/>
                <w:color w:val="auto"/>
              </w:rPr>
              <w:t>特大果</w:t>
            </w:r>
            <w:r>
              <w:rPr>
                <w:rFonts w:ascii="Times New Roman" w:hAnsi="Times New Roman"/>
                <w:bCs/>
                <w:color w:val="auto"/>
              </w:rPr>
              <w:t>（</w:t>
            </w:r>
            <w:r>
              <w:rPr>
                <w:rFonts w:hint="eastAsia" w:ascii="Times New Roman" w:hAnsi="Times New Roman"/>
                <w:bCs/>
                <w:color w:val="auto"/>
              </w:rPr>
              <w:t>XL</w:t>
            </w:r>
            <w:r>
              <w:rPr>
                <w:rFonts w:ascii="Times New Roman" w:hAnsi="Times New Roman"/>
                <w:bCs/>
                <w:color w:val="auto"/>
              </w:rPr>
              <w:t>）</w:t>
            </w:r>
          </w:p>
        </w:tc>
      </w:tr>
      <w:tr w14:paraId="1B055F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814" w:type="dxa"/>
            <w:vAlign w:val="center"/>
          </w:tcPr>
          <w:p w14:paraId="53F1D6B9">
            <w:pPr>
              <w:spacing w:line="240" w:lineRule="auto"/>
              <w:jc w:val="center"/>
              <w:rPr>
                <w:rFonts w:ascii="Times New Roman" w:hAnsi="Times New Roman"/>
                <w:bCs/>
              </w:rPr>
            </w:pPr>
            <w:r>
              <w:rPr>
                <w:rFonts w:hint="eastAsia" w:ascii="Times New Roman" w:hAnsi="Times New Roman"/>
                <w:bCs/>
              </w:rPr>
              <w:t>横径</w:t>
            </w:r>
            <w:r>
              <w:rPr>
                <w:rFonts w:ascii="Times New Roman" w:hAnsi="Times New Roman"/>
                <w:bCs/>
              </w:rPr>
              <w:t>（ mm）</w:t>
            </w:r>
          </w:p>
        </w:tc>
        <w:tc>
          <w:tcPr>
            <w:tcW w:w="1814" w:type="dxa"/>
            <w:vAlign w:val="center"/>
          </w:tcPr>
          <w:p w14:paraId="5C939D02">
            <w:pPr>
              <w:spacing w:line="240" w:lineRule="auto"/>
              <w:jc w:val="center"/>
              <w:rPr>
                <w:rFonts w:ascii="Times New Roman" w:hAnsi="Times New Roman"/>
                <w:bCs/>
              </w:rPr>
            </w:pPr>
            <w:r>
              <w:rPr>
                <w:rFonts w:ascii="Times New Roman" w:hAnsi="Times New Roman"/>
                <w:bCs/>
              </w:rPr>
              <w:t>＜65</w:t>
            </w:r>
          </w:p>
        </w:tc>
        <w:tc>
          <w:tcPr>
            <w:tcW w:w="1814" w:type="dxa"/>
            <w:vAlign w:val="center"/>
          </w:tcPr>
          <w:p w14:paraId="5FA78D64">
            <w:pPr>
              <w:spacing w:line="240" w:lineRule="auto"/>
              <w:jc w:val="center"/>
              <w:rPr>
                <w:rFonts w:ascii="Times New Roman" w:hAnsi="Times New Roman"/>
                <w:bCs/>
              </w:rPr>
            </w:pPr>
            <w:r>
              <w:rPr>
                <w:rFonts w:ascii="Times New Roman" w:hAnsi="Times New Roman"/>
                <w:bCs/>
              </w:rPr>
              <w:t>65～＜70</w:t>
            </w:r>
          </w:p>
        </w:tc>
        <w:tc>
          <w:tcPr>
            <w:tcW w:w="1814" w:type="dxa"/>
            <w:vAlign w:val="center"/>
          </w:tcPr>
          <w:p w14:paraId="3088CC82">
            <w:pPr>
              <w:spacing w:line="240" w:lineRule="auto"/>
              <w:jc w:val="center"/>
              <w:rPr>
                <w:rFonts w:ascii="Times New Roman" w:hAnsi="Times New Roman"/>
                <w:bCs/>
              </w:rPr>
            </w:pPr>
            <w:r>
              <w:rPr>
                <w:rFonts w:ascii="Times New Roman" w:hAnsi="Times New Roman"/>
                <w:bCs/>
              </w:rPr>
              <w:t>70～＜75</w:t>
            </w:r>
          </w:p>
        </w:tc>
        <w:tc>
          <w:tcPr>
            <w:tcW w:w="1814" w:type="dxa"/>
            <w:vAlign w:val="center"/>
          </w:tcPr>
          <w:p w14:paraId="1DDD1218">
            <w:pPr>
              <w:spacing w:line="240" w:lineRule="auto"/>
              <w:jc w:val="center"/>
              <w:rPr>
                <w:rFonts w:ascii="Times New Roman" w:hAnsi="Times New Roman"/>
                <w:bCs/>
              </w:rPr>
            </w:pPr>
            <w:r>
              <w:rPr>
                <w:rFonts w:ascii="Times New Roman" w:hAnsi="Times New Roman"/>
                <w:bCs/>
              </w:rPr>
              <w:t>≥75</w:t>
            </w:r>
          </w:p>
        </w:tc>
      </w:tr>
    </w:tbl>
    <w:p w14:paraId="492B240F">
      <w:pPr>
        <w:pStyle w:val="105"/>
        <w:numPr>
          <w:ilvl w:val="1"/>
          <w:numId w:val="0"/>
        </w:numPr>
        <w:spacing w:before="240" w:after="240"/>
        <w:ind w:leftChars="0"/>
        <w:rPr>
          <w:rFonts w:hint="eastAsia"/>
          <w:lang w:eastAsia="zh-CN"/>
        </w:rPr>
      </w:pPr>
      <w:r>
        <w:rPr>
          <w:rFonts w:hint="eastAsia"/>
          <w:lang w:val="en-US" w:eastAsia="zh-CN"/>
        </w:rPr>
        <w:t xml:space="preserve">5 </w:t>
      </w:r>
      <w:r>
        <w:rPr>
          <w:rFonts w:hint="eastAsia"/>
          <w:lang w:eastAsia="zh-CN"/>
        </w:rPr>
        <w:t>检验方法</w:t>
      </w:r>
    </w:p>
    <w:p w14:paraId="2282A894">
      <w:pPr>
        <w:pStyle w:val="25"/>
        <w:spacing w:before="0" w:beforeAutospacing="0" w:after="0" w:afterAutospacing="0"/>
        <w:jc w:val="both"/>
        <w:rPr>
          <w:rFonts w:hint="eastAsia"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lang w:val="en-US" w:eastAsia="zh-CN"/>
        </w:rPr>
        <w:t>5.1</w:t>
      </w:r>
      <w:r>
        <w:rPr>
          <w:rFonts w:hint="eastAsia" w:ascii="Times New Roman" w:hAnsi="Times New Roman" w:eastAsia="黑体" w:cs="Times New Roman"/>
          <w:color w:val="000000"/>
          <w:sz w:val="20"/>
          <w:szCs w:val="20"/>
        </w:rPr>
        <w:t>试验环境</w:t>
      </w:r>
    </w:p>
    <w:p w14:paraId="0C6A62D5">
      <w:pPr>
        <w:pStyle w:val="57"/>
        <w:ind w:firstLine="420"/>
        <w:rPr>
          <w:color w:val="auto"/>
        </w:rPr>
      </w:pPr>
      <w:r>
        <w:rPr>
          <w:rFonts w:hint="eastAsia"/>
          <w:color w:val="auto"/>
        </w:rPr>
        <w:t>检验工作宜在室内开展，检验场所应光线充足、通风良好，并配备检验所需的设备及器材。</w:t>
      </w:r>
    </w:p>
    <w:p w14:paraId="0B72EBF8">
      <w:pPr>
        <w:pStyle w:val="25"/>
        <w:spacing w:before="0" w:beforeAutospacing="0" w:after="0" w:afterAutospacing="0"/>
        <w:jc w:val="both"/>
        <w:rPr>
          <w:rFonts w:hint="eastAsia"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lang w:val="en-US" w:eastAsia="zh-CN"/>
        </w:rPr>
        <w:t>5.2</w:t>
      </w:r>
      <w:r>
        <w:rPr>
          <w:rFonts w:hint="eastAsia" w:ascii="Times New Roman" w:hAnsi="Times New Roman" w:eastAsia="黑体" w:cs="Times New Roman"/>
          <w:color w:val="000000"/>
          <w:sz w:val="20"/>
          <w:szCs w:val="20"/>
        </w:rPr>
        <w:t>感官指标</w:t>
      </w:r>
    </w:p>
    <w:p w14:paraId="074BEE0C">
      <w:pPr>
        <w:pStyle w:val="57"/>
        <w:ind w:firstLine="420"/>
        <w:rPr>
          <w:color w:val="auto"/>
        </w:rPr>
      </w:pPr>
      <w:r>
        <w:rPr>
          <w:rFonts w:hint="eastAsia"/>
          <w:color w:val="auto"/>
        </w:rPr>
        <w:t>果形、果梗、果面缺陷和果锈采用目测或量具测定。着色判定时，仅将嘎啦系苹果特有的鲜红色条纹计入有效着色面积，黄绿色底色、淡褐色条纹及青褐色条纹不计入有效着色面积。</w:t>
      </w:r>
    </w:p>
    <w:p w14:paraId="258179B5">
      <w:pPr>
        <w:pStyle w:val="57"/>
        <w:ind w:firstLine="420"/>
        <w:rPr>
          <w:color w:val="auto"/>
        </w:rPr>
      </w:pPr>
      <w:r>
        <w:rPr>
          <w:rFonts w:hint="eastAsia"/>
          <w:color w:val="auto"/>
        </w:rPr>
        <w:t>批量样品按照7.2的抽样方法进行抽取样果。将样果先横径切开，再纵径切开，切成4块，逐个观察霉心病、腐心、食心虫害、冷害及内部品质伤害情况。同一批次样品有1%以上果实存在上述伤害情况的，可扩大切剖范围，增加1倍切剖样果数量，并将全部病果计入质量容许度不合格范畴。未造成果肉褐变的水心病果不计入质量容许度不合格范畴。</w:t>
      </w:r>
    </w:p>
    <w:p w14:paraId="79CB7B05">
      <w:pPr>
        <w:pStyle w:val="57"/>
        <w:ind w:firstLine="420"/>
        <w:rPr>
          <w:color w:val="auto"/>
        </w:rPr>
      </w:pPr>
      <w:r>
        <w:rPr>
          <w:rFonts w:hint="eastAsia"/>
          <w:color w:val="auto"/>
        </w:rPr>
        <w:t>损失率按 GB/T 23616 的规定执行。</w:t>
      </w:r>
    </w:p>
    <w:p w14:paraId="3BC82E6E">
      <w:pPr>
        <w:pStyle w:val="57"/>
        <w:ind w:firstLine="420"/>
        <w:rPr>
          <w:color w:val="auto"/>
        </w:rPr>
      </w:pPr>
      <w:r>
        <w:rPr>
          <w:rFonts w:hint="eastAsia"/>
          <w:color w:val="auto"/>
        </w:rPr>
        <w:t>检出的不合格果，按记录单分项以果重为基准计算其百分率；包装上标有果数时，也可按果数为基准计算。单项不合格果百分率按式（1）计算。</w:t>
      </w:r>
    </w:p>
    <w:p w14:paraId="3D78758A">
      <w:pPr>
        <w:pStyle w:val="114"/>
        <w:rPr>
          <w:rFonts w:hint="eastAsia"/>
          <w:color w:val="auto"/>
        </w:rPr>
      </w:pPr>
      <w:r>
        <w:rPr>
          <w:rFonts w:hint="eastAsia"/>
          <w:color w:val="auto"/>
        </w:rPr>
        <w:tab/>
      </w:r>
      <m:oMath>
        <m:r>
          <m:rPr>
            <m:sty m:val="p"/>
          </m:rPr>
          <w:rPr>
            <w:rFonts w:hint="eastAsia" w:ascii="Cambria Math" w:hAnsi="Cambria Math"/>
            <w:color w:val="auto"/>
          </w:rPr>
          <m:t>X = w / W × 100%</m:t>
        </m:r>
      </m:oMath>
      <w:r>
        <w:rPr>
          <w:rFonts w:hint="eastAsia" w:ascii="微软雅黑" w:hAnsi="微软雅黑" w:eastAsia="微软雅黑"/>
          <w:color w:val="auto"/>
        </w:rPr>
        <w:tab/>
      </w:r>
      <w:r>
        <w:rPr>
          <w:rFonts w:ascii="Times New Roman" w:hAnsi="Times New Roman"/>
          <w:color w:val="auto"/>
        </w:rPr>
        <w:t>(</w:t>
      </w:r>
      <w:r>
        <w:rPr>
          <w:rFonts w:ascii="Times New Roman" w:hAnsi="Times New Roman"/>
          <w:color w:val="auto"/>
        </w:rPr>
        <w:fldChar w:fldCharType="begin"/>
      </w:r>
      <w:r>
        <w:rPr>
          <w:rFonts w:ascii="Times New Roman" w:hAnsi="Times New Roman"/>
          <w:color w:val="auto"/>
        </w:rPr>
        <w:instrText xml:space="preserve"> AUTONUM </w:instrText>
      </w:r>
      <w:r>
        <w:rPr>
          <w:rFonts w:ascii="Times New Roman" w:hAnsi="Times New Roman"/>
          <w:color w:val="auto"/>
        </w:rPr>
        <w:fldChar w:fldCharType="end"/>
      </w:r>
      <w:r>
        <w:rPr>
          <w:rFonts w:ascii="Times New Roman" w:hAnsi="Times New Roman"/>
          <w:color w:val="auto"/>
        </w:rPr>
        <w:t>)</w:t>
      </w:r>
    </w:p>
    <w:p w14:paraId="622449CF">
      <w:pPr>
        <w:pStyle w:val="57"/>
        <w:ind w:firstLine="420"/>
        <w:rPr>
          <w:color w:val="auto"/>
        </w:rPr>
      </w:pPr>
      <w:r>
        <w:rPr>
          <w:rFonts w:hint="eastAsia"/>
          <w:color w:val="auto"/>
        </w:rPr>
        <w:t>式中：X——单项不合格果百分率，%；w——单项不合格果重或果数，单位为克（g）或个；W——检验批总果重或果数，单位为克（g）或个。</w:t>
      </w:r>
    </w:p>
    <w:p w14:paraId="6D63799F">
      <w:pPr>
        <w:pStyle w:val="57"/>
        <w:ind w:firstLine="420"/>
        <w:rPr>
          <w:color w:val="auto"/>
        </w:rPr>
      </w:pPr>
      <w:r>
        <w:rPr>
          <w:rFonts w:hint="eastAsia"/>
          <w:color w:val="auto"/>
        </w:rPr>
        <w:t>各单项不合格果百分率的总和为该批次嘎啦苹果总不合格果百分率。单项不合格果百分率保留小数点后两位，总不合格果百分率保留小数点后一位。</w:t>
      </w:r>
    </w:p>
    <w:p w14:paraId="0FAD010B">
      <w:pPr>
        <w:pStyle w:val="25"/>
        <w:spacing w:before="0" w:beforeAutospacing="0" w:after="0" w:afterAutospacing="0"/>
        <w:jc w:val="both"/>
        <w:rPr>
          <w:rFonts w:hint="eastAsia"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lang w:val="en-US" w:eastAsia="zh-CN"/>
        </w:rPr>
        <w:t>5.3</w:t>
      </w:r>
      <w:r>
        <w:rPr>
          <w:rFonts w:hint="eastAsia" w:ascii="Times New Roman" w:hAnsi="Times New Roman" w:eastAsia="黑体" w:cs="Times New Roman"/>
          <w:color w:val="000000"/>
          <w:sz w:val="20"/>
          <w:szCs w:val="20"/>
        </w:rPr>
        <w:t>理化指标</w:t>
      </w:r>
    </w:p>
    <w:p w14:paraId="6370CE88">
      <w:pPr>
        <w:pStyle w:val="57"/>
        <w:ind w:firstLine="420"/>
        <w:rPr>
          <w:color w:val="auto"/>
        </w:rPr>
      </w:pPr>
      <w:r>
        <w:rPr>
          <w:rFonts w:hint="eastAsia"/>
          <w:color w:val="auto"/>
        </w:rPr>
        <w:t>在抽好的样品中，随机选取20个样果，恢复至室温16 ℃～25 ℃后依次测定。每个果实分别在阴阳两面的赤道部位各取一个点测定。</w:t>
      </w:r>
    </w:p>
    <w:p w14:paraId="15F2F4D3">
      <w:pPr>
        <w:pStyle w:val="57"/>
        <w:ind w:firstLine="420"/>
        <w:rPr>
          <w:color w:val="auto"/>
        </w:rPr>
      </w:pPr>
      <w:r>
        <w:rPr>
          <w:rFonts w:hint="eastAsia"/>
          <w:color w:val="auto"/>
        </w:rPr>
        <w:t>果实硬度按 GB/T 10651 的规定执行。可溶性固形物含量按 NY/T 2637 的规定执行，取40个测定数据的平均值，计算至小数点后一位。</w:t>
      </w:r>
    </w:p>
    <w:p w14:paraId="3DE00E14">
      <w:pPr>
        <w:pStyle w:val="57"/>
        <w:ind w:firstLine="420"/>
        <w:rPr>
          <w:color w:val="auto"/>
        </w:rPr>
      </w:pPr>
      <w:r>
        <w:rPr>
          <w:rFonts w:hint="eastAsia"/>
          <w:color w:val="auto"/>
        </w:rPr>
        <w:t>可滴定酸按附录A规定的方法测定。固酸比按式（2）计算。</w:t>
      </w:r>
    </w:p>
    <w:p w14:paraId="5B3FF1E2">
      <w:pPr>
        <w:pStyle w:val="114"/>
        <w:rPr>
          <w:rFonts w:hint="eastAsia"/>
          <w:color w:val="auto"/>
        </w:rPr>
      </w:pPr>
      <w:r>
        <w:rPr>
          <w:rFonts w:hint="eastAsia"/>
          <w:color w:val="auto"/>
        </w:rPr>
        <w:tab/>
      </w:r>
      <m:oMath>
        <m:r>
          <m:rPr>
            <m:sty m:val="p"/>
          </m:rPr>
          <w:rPr>
            <w:rFonts w:hint="eastAsia" w:ascii="Cambria Math" w:hAnsi="Cambria Math"/>
            <w:color w:val="auto"/>
          </w:rPr>
          <m:t>R = S / A</m:t>
        </m:r>
      </m:oMath>
      <w:r>
        <w:rPr>
          <w:rFonts w:hint="eastAsia" w:ascii="微软雅黑" w:hAnsi="微软雅黑" w:eastAsia="微软雅黑"/>
          <w:color w:val="auto"/>
        </w:rPr>
        <w:tab/>
      </w:r>
      <w:r>
        <w:rPr>
          <w:rFonts w:ascii="Times New Roman" w:hAnsi="Times New Roman"/>
          <w:color w:val="auto"/>
        </w:rPr>
        <w:t>(</w:t>
      </w:r>
      <w:r>
        <w:rPr>
          <w:rFonts w:ascii="Times New Roman" w:hAnsi="Times New Roman"/>
          <w:color w:val="auto"/>
        </w:rPr>
        <w:fldChar w:fldCharType="begin"/>
      </w:r>
      <w:r>
        <w:rPr>
          <w:rFonts w:ascii="Times New Roman" w:hAnsi="Times New Roman"/>
          <w:color w:val="auto"/>
        </w:rPr>
        <w:instrText xml:space="preserve"> AUTONUM </w:instrText>
      </w:r>
      <w:r>
        <w:rPr>
          <w:rFonts w:ascii="Times New Roman" w:hAnsi="Times New Roman"/>
          <w:color w:val="auto"/>
        </w:rPr>
        <w:fldChar w:fldCharType="end"/>
      </w:r>
      <w:r>
        <w:rPr>
          <w:rFonts w:ascii="Times New Roman" w:hAnsi="Times New Roman"/>
          <w:color w:val="auto"/>
        </w:rPr>
        <w:t>)</w:t>
      </w:r>
    </w:p>
    <w:p w14:paraId="2D2A14A6">
      <w:pPr>
        <w:pStyle w:val="57"/>
        <w:ind w:firstLine="420"/>
        <w:rPr>
          <w:color w:val="auto"/>
        </w:rPr>
      </w:pPr>
      <w:r>
        <w:rPr>
          <w:rFonts w:hint="eastAsia"/>
          <w:color w:val="auto"/>
        </w:rPr>
        <w:t>式中：R——固酸比；S——可溶性固形物含量，%；A——可滴定酸含量，%。</w:t>
      </w:r>
    </w:p>
    <w:p w14:paraId="72EDDC4B">
      <w:pPr>
        <w:pStyle w:val="57"/>
        <w:ind w:firstLine="420"/>
        <w:rPr>
          <w:color w:val="auto"/>
        </w:rPr>
      </w:pPr>
      <w:r>
        <w:rPr>
          <w:rFonts w:hint="eastAsia"/>
          <w:color w:val="auto"/>
        </w:rPr>
        <w:t>果心大小的测定：果实沿最大横径处切开，用游标卡尺测量心室直径和横截面直径，按心室直径与横截面直径的比值表示。</w:t>
      </w:r>
    </w:p>
    <w:p w14:paraId="28B81CE4">
      <w:pPr>
        <w:pStyle w:val="25"/>
        <w:spacing w:before="0" w:beforeAutospacing="0" w:after="0" w:afterAutospacing="0"/>
        <w:jc w:val="both"/>
        <w:rPr>
          <w:rFonts w:hint="eastAsia"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lang w:val="en-US" w:eastAsia="zh-CN"/>
        </w:rPr>
        <w:t>5.4</w:t>
      </w:r>
      <w:r>
        <w:rPr>
          <w:rFonts w:hint="eastAsia" w:ascii="Times New Roman" w:hAnsi="Times New Roman" w:eastAsia="黑体" w:cs="Times New Roman"/>
          <w:color w:val="000000"/>
          <w:sz w:val="20"/>
          <w:szCs w:val="20"/>
        </w:rPr>
        <w:t>规格测量</w:t>
      </w:r>
    </w:p>
    <w:p w14:paraId="08F931F0">
      <w:pPr>
        <w:pStyle w:val="57"/>
        <w:ind w:firstLine="420"/>
      </w:pPr>
      <w:r>
        <w:rPr>
          <w:rFonts w:hint="eastAsia"/>
        </w:rPr>
        <w:t>采用水果标准分级板或分级圈测量果径。测量时果梗朝下、萼洼朝上，使果实最大横径垂直通过水平放置的分级板或分级圈。</w:t>
      </w:r>
    </w:p>
    <w:p w14:paraId="1C49244F">
      <w:pPr>
        <w:pStyle w:val="25"/>
        <w:spacing w:before="0" w:beforeAutospacing="0" w:after="0" w:afterAutospacing="0"/>
        <w:jc w:val="both"/>
        <w:rPr>
          <w:rFonts w:hint="eastAsia"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lang w:val="en-US" w:eastAsia="zh-CN"/>
        </w:rPr>
        <w:t>5.5</w:t>
      </w:r>
      <w:r>
        <w:rPr>
          <w:rFonts w:hint="eastAsia" w:ascii="Times New Roman" w:hAnsi="Times New Roman" w:eastAsia="黑体" w:cs="Times New Roman"/>
          <w:color w:val="000000"/>
          <w:sz w:val="20"/>
          <w:szCs w:val="20"/>
        </w:rPr>
        <w:t>检验规则</w:t>
      </w:r>
    </w:p>
    <w:p w14:paraId="23622C01">
      <w:pPr>
        <w:pStyle w:val="25"/>
        <w:spacing w:before="0" w:beforeAutospacing="0" w:after="0" w:afterAutospacing="0"/>
        <w:jc w:val="both"/>
        <w:rPr>
          <w:rFonts w:hint="eastAsia"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lang w:val="en-US" w:eastAsia="zh-CN"/>
        </w:rPr>
        <w:t>5.5.1</w:t>
      </w:r>
      <w:r>
        <w:rPr>
          <w:rFonts w:hint="eastAsia" w:ascii="Times New Roman" w:hAnsi="Times New Roman" w:eastAsia="黑体" w:cs="Times New Roman"/>
          <w:color w:val="000000"/>
          <w:sz w:val="20"/>
          <w:szCs w:val="20"/>
        </w:rPr>
        <w:t>组批规则</w:t>
      </w:r>
    </w:p>
    <w:p w14:paraId="0B51B226">
      <w:pPr>
        <w:pStyle w:val="57"/>
        <w:ind w:firstLine="420"/>
      </w:pPr>
      <w:r>
        <w:rPr>
          <w:rFonts w:hint="eastAsia"/>
        </w:rPr>
        <w:t>同一产地、同一品种、同期采收、同一收购或仓储、同一等级规格、同一销售批次的嘎啦苹果作为一个检验批次。</w:t>
      </w:r>
    </w:p>
    <w:p w14:paraId="20EC2B70">
      <w:pPr>
        <w:pStyle w:val="25"/>
        <w:spacing w:before="0" w:beforeAutospacing="0" w:after="0" w:afterAutospacing="0"/>
        <w:jc w:val="both"/>
        <w:rPr>
          <w:rFonts w:hint="eastAsia"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lang w:val="en-US" w:eastAsia="zh-CN"/>
        </w:rPr>
        <w:t>5.5.2</w:t>
      </w:r>
      <w:r>
        <w:rPr>
          <w:rFonts w:hint="eastAsia" w:ascii="Times New Roman" w:hAnsi="Times New Roman" w:eastAsia="黑体" w:cs="Times New Roman"/>
          <w:color w:val="000000"/>
          <w:sz w:val="20"/>
          <w:szCs w:val="20"/>
        </w:rPr>
        <w:t>抽样方法和数量</w:t>
      </w:r>
    </w:p>
    <w:p w14:paraId="1CE37EE7">
      <w:pPr>
        <w:pStyle w:val="57"/>
        <w:ind w:firstLine="420"/>
      </w:pPr>
      <w:r>
        <w:rPr>
          <w:rFonts w:hint="eastAsia"/>
        </w:rPr>
        <w:t>以一个检验批次为一个抽样批次，在全批货物的不同部位随机抽取具有代表性的样品。用周转筐或纸箱包装的货物，50件以内抽取1件，51件～100件抽取2件；101件以上以100件抽取2件为基数，每增加100件增抽1件，不足100件按100件计。散装或筐装苹果，应在装果容器上、中、下部位随机抽取，样果数量不得少于100个。检验过程中发现质量问题，或检验结果接近等级规格容许度限值时，可适当增加抽样数量或加倍抽样复检。</w:t>
      </w:r>
    </w:p>
    <w:p w14:paraId="3D0A9905">
      <w:pPr>
        <w:pStyle w:val="25"/>
        <w:jc w:val="both"/>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6 判定规则</w:t>
      </w:r>
    </w:p>
    <w:p w14:paraId="553276BC">
      <w:pPr>
        <w:pStyle w:val="25"/>
        <w:spacing w:before="0" w:beforeAutospacing="0" w:after="0" w:afterAutospacing="0"/>
        <w:jc w:val="both"/>
        <w:rPr>
          <w:rFonts w:hint="eastAsia"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lang w:val="en-US" w:eastAsia="zh-CN"/>
        </w:rPr>
        <w:t xml:space="preserve">6.1 </w:t>
      </w:r>
      <w:r>
        <w:rPr>
          <w:rFonts w:hint="eastAsia" w:ascii="Times New Roman" w:hAnsi="Times New Roman" w:eastAsia="黑体" w:cs="Times New Roman"/>
          <w:color w:val="000000"/>
          <w:sz w:val="20"/>
          <w:szCs w:val="20"/>
        </w:rPr>
        <w:t>等级容许度</w:t>
      </w:r>
    </w:p>
    <w:p w14:paraId="35474E8F">
      <w:pPr>
        <w:pStyle w:val="166"/>
        <w:numPr>
          <w:ilvl w:val="3"/>
          <w:numId w:val="0"/>
        </w:numPr>
        <w:ind w:leftChars="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6.1.1精品果允许有不超过4%的果实不符合本等级规定的等级要求，但应满足一等果要求。</w:t>
      </w:r>
    </w:p>
    <w:p w14:paraId="61DEF0BB">
      <w:pPr>
        <w:pStyle w:val="166"/>
        <w:numPr>
          <w:ilvl w:val="3"/>
          <w:numId w:val="0"/>
        </w:numPr>
        <w:ind w:leftChars="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6.1.2一等果允许有不超过9%的果实不符合本等级规定的等级要求，但应满足二等果要求。</w:t>
      </w:r>
    </w:p>
    <w:p w14:paraId="4F99D203">
      <w:pPr>
        <w:pStyle w:val="166"/>
        <w:numPr>
          <w:ilvl w:val="3"/>
          <w:numId w:val="0"/>
        </w:numPr>
        <w:ind w:leftChars="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6.1.3二等果允许有不超过14%的果实不符合本等级规定的等级要求，但应满足等外果要求。</w:t>
      </w:r>
    </w:p>
    <w:p w14:paraId="0ADECE83">
      <w:pPr>
        <w:pStyle w:val="166"/>
        <w:numPr>
          <w:ilvl w:val="3"/>
          <w:numId w:val="0"/>
        </w:numPr>
        <w:ind w:leftChars="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6.1.4等外果不得含有腐烂果；腐烂果应剔除，不得进入鲜食流通或加工投料环节。</w:t>
      </w:r>
    </w:p>
    <w:p w14:paraId="068BDD9F">
      <w:pPr>
        <w:pStyle w:val="166"/>
        <w:numPr>
          <w:ilvl w:val="3"/>
          <w:numId w:val="0"/>
        </w:numPr>
        <w:ind w:leftChars="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6.1.5加工用苹果允许有不超过22%的果实不符合鲜食等外果等级规定的等级要求；腐烂果应全部剔除。</w:t>
      </w:r>
    </w:p>
    <w:p w14:paraId="66FBAD13">
      <w:pPr>
        <w:pStyle w:val="25"/>
        <w:spacing w:before="0" w:beforeAutospacing="0" w:after="0" w:afterAutospacing="0"/>
        <w:jc w:val="both"/>
        <w:rPr>
          <w:rFonts w:hint="eastAsia" w:ascii="Times New Roman" w:hAnsi="Times New Roman" w:eastAsia="黑体" w:cs="Times New Roman"/>
          <w:color w:val="000000"/>
          <w:sz w:val="20"/>
          <w:szCs w:val="20"/>
          <w:lang w:val="en-US" w:eastAsia="zh-CN"/>
        </w:rPr>
      </w:pPr>
      <w:r>
        <w:rPr>
          <w:rFonts w:hint="eastAsia" w:ascii="Times New Roman" w:hAnsi="Times New Roman" w:eastAsia="黑体" w:cs="Times New Roman"/>
          <w:color w:val="000000"/>
          <w:sz w:val="20"/>
          <w:szCs w:val="20"/>
          <w:lang w:val="en-US" w:eastAsia="zh-CN"/>
        </w:rPr>
        <w:t>6.2规格容许度</w:t>
      </w:r>
    </w:p>
    <w:p w14:paraId="413609ED">
      <w:pPr>
        <w:pStyle w:val="166"/>
        <w:numPr>
          <w:ilvl w:val="3"/>
          <w:numId w:val="0"/>
        </w:numPr>
        <w:ind w:leftChars="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各规格鲜食苹果允许有不超过5%的果实低于本规格下限。加工用苹果规格容许度不做要求。</w:t>
      </w:r>
    </w:p>
    <w:p w14:paraId="04BE18F2">
      <w:pPr>
        <w:pStyle w:val="25"/>
        <w:spacing w:before="0" w:beforeAutospacing="0" w:after="0" w:afterAutospacing="0"/>
        <w:jc w:val="both"/>
        <w:rPr>
          <w:rFonts w:hint="eastAsia" w:ascii="Times New Roman" w:hAnsi="Times New Roman" w:eastAsia="黑体" w:cs="Times New Roman"/>
          <w:color w:val="000000"/>
          <w:sz w:val="20"/>
          <w:szCs w:val="20"/>
          <w:lang w:val="en-US" w:eastAsia="zh-CN"/>
        </w:rPr>
      </w:pPr>
      <w:r>
        <w:rPr>
          <w:rFonts w:hint="eastAsia" w:ascii="Times New Roman" w:hAnsi="Times New Roman" w:eastAsia="黑体" w:cs="Times New Roman"/>
          <w:color w:val="000000"/>
          <w:sz w:val="20"/>
          <w:szCs w:val="20"/>
          <w:lang w:val="en-US" w:eastAsia="zh-CN"/>
        </w:rPr>
        <w:t>6.3判定</w:t>
      </w:r>
    </w:p>
    <w:p w14:paraId="5E003958">
      <w:pPr>
        <w:pStyle w:val="57"/>
        <w:ind w:left="0" w:leftChars="0" w:firstLine="0" w:firstLineChars="0"/>
      </w:pPr>
      <w:r>
        <w:rPr>
          <w:rFonts w:hint="eastAsia"/>
          <w:lang w:val="en-US" w:eastAsia="zh-CN"/>
        </w:rPr>
        <w:t>6.3.1</w:t>
      </w:r>
      <w:r>
        <w:rPr>
          <w:rFonts w:hint="eastAsia"/>
        </w:rPr>
        <w:t>同一个样果兼有两项或两项以上不同缺陷或损伤时，仅记录其中对品质影响较大的一项。</w:t>
      </w:r>
    </w:p>
    <w:p w14:paraId="668559B2">
      <w:pPr>
        <w:pStyle w:val="57"/>
        <w:ind w:left="0" w:leftChars="0" w:firstLine="0" w:firstLineChars="0"/>
      </w:pPr>
      <w:r>
        <w:rPr>
          <w:rFonts w:hint="eastAsia"/>
          <w:lang w:val="en-US" w:eastAsia="zh-CN"/>
        </w:rPr>
        <w:t>6.3.2</w:t>
      </w:r>
      <w:r>
        <w:rPr>
          <w:rFonts w:hint="eastAsia"/>
        </w:rPr>
        <w:t>交售产品时，应根据实际货物情况标注等级、执行标准、规格、净重、交售数量等；标注不全或不符合要求的，应由交货者重新整理后再抽样验收。</w:t>
      </w:r>
    </w:p>
    <w:p w14:paraId="3CAED82A">
      <w:pPr>
        <w:pStyle w:val="57"/>
        <w:ind w:left="0" w:leftChars="0" w:firstLine="0" w:firstLineChars="0"/>
      </w:pPr>
      <w:r>
        <w:rPr>
          <w:rFonts w:hint="eastAsia"/>
          <w:lang w:val="en-US" w:eastAsia="zh-CN"/>
        </w:rPr>
        <w:t>6.3.3</w:t>
      </w:r>
      <w:r>
        <w:rPr>
          <w:rFonts w:hint="eastAsia"/>
        </w:rPr>
        <w:t>供需双方对定级有异议时，可协商重新定级验收；交售方不同意变更等级的，可将整批果实重新整理后复检，并以复检结果作为最终判定依据。特殊要求按双方合同约定执行。</w:t>
      </w:r>
    </w:p>
    <w:p w14:paraId="126AFA80">
      <w:pPr>
        <w:pStyle w:val="57"/>
        <w:ind w:firstLine="420"/>
        <w:rPr>
          <w:rFonts w:hint="eastAsia"/>
          <w:vanish w:val="0"/>
        </w:rPr>
      </w:pPr>
    </w:p>
    <w:p w14:paraId="70D1802E">
      <w:pPr>
        <w:pStyle w:val="25"/>
        <w:jc w:val="both"/>
        <w:rPr>
          <w:rFonts w:hint="eastAsia" w:ascii="宋体" w:hAnsi="宋体" w:eastAsia="宋体" w:cs="宋体"/>
          <w:kern w:val="0"/>
          <w:sz w:val="24"/>
          <w:szCs w:val="24"/>
          <w:lang w:val="en-US" w:eastAsia="zh-CN" w:bidi="ar-SA"/>
        </w:rPr>
      </w:pPr>
    </w:p>
    <w:bookmarkEnd w:id="22"/>
    <w:p w14:paraId="1A9AE3B3">
      <w:pPr>
        <w:pStyle w:val="57"/>
        <w:rPr>
          <w:rFonts w:hint="eastAsia"/>
        </w:rPr>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26AE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A486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1987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6EDC1">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76F88">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B958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31D3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7D5A2">
    <w:pPr>
      <w:pStyle w:val="62"/>
      <w:rPr>
        <w:rFonts w:hint="eastAsia"/>
      </w:rPr>
    </w:pPr>
    <w:r>
      <w:fldChar w:fldCharType="begin"/>
    </w:r>
    <w:r>
      <w:instrText xml:space="preserve"> STYLEREF  标准文件_文件编号  \* MERGEFORMAT </w:instrText>
    </w:r>
    <w:r>
      <w:fldChar w:fldCharType="separate"/>
    </w:r>
    <w:r>
      <w:t>T/CNCAIA 0014—2026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C33B9">
    <w:pPr>
      <w:pStyle w:val="18"/>
      <w:jc w:val="right"/>
    </w:pPr>
    <w:r>
      <w:fldChar w:fldCharType="begin"/>
    </w:r>
    <w:r>
      <w:instrText xml:space="preserve"> STYLEREF  标准文件_文件编号  \* MERGEFORMAT </w:instrText>
    </w:r>
    <w:r>
      <w:fldChar w:fldCharType="separate"/>
    </w:r>
    <w:r>
      <w:t>T/CNCAIA 0014—2026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Jzlj8W3J9RAO4MNz0f9kWdcaFKlo0RAZUaeksMBHH5MI8AMeSsPxVJ1+cPEBCPsnX6ZeWTRkavS4wsoLggibXQ==" w:salt="muVR/dRjmFtqXgOaIVnDr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49B"/>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5A07"/>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ACD"/>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27E"/>
    <w:rsid w:val="002B1966"/>
    <w:rsid w:val="002B4508"/>
    <w:rsid w:val="002B5779"/>
    <w:rsid w:val="002B7332"/>
    <w:rsid w:val="002B7F51"/>
    <w:rsid w:val="002C09E7"/>
    <w:rsid w:val="002C1E06"/>
    <w:rsid w:val="002C2CB8"/>
    <w:rsid w:val="002C3F07"/>
    <w:rsid w:val="002C5278"/>
    <w:rsid w:val="002C7EBB"/>
    <w:rsid w:val="002D06C1"/>
    <w:rsid w:val="002D42B5"/>
    <w:rsid w:val="002D4F1A"/>
    <w:rsid w:val="002D6EC6"/>
    <w:rsid w:val="002D79AC"/>
    <w:rsid w:val="002E039D"/>
    <w:rsid w:val="002E4D5A"/>
    <w:rsid w:val="002E6326"/>
    <w:rsid w:val="002F2AA5"/>
    <w:rsid w:val="002F30E0"/>
    <w:rsid w:val="002F35E4"/>
    <w:rsid w:val="002F3730"/>
    <w:rsid w:val="002F38E1"/>
    <w:rsid w:val="002F7AF6"/>
    <w:rsid w:val="00300E63"/>
    <w:rsid w:val="00302F5F"/>
    <w:rsid w:val="0030441D"/>
    <w:rsid w:val="00306063"/>
    <w:rsid w:val="00313B85"/>
    <w:rsid w:val="00313E9E"/>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4B"/>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32C"/>
    <w:rsid w:val="0041477A"/>
    <w:rsid w:val="004167A3"/>
    <w:rsid w:val="00430E8D"/>
    <w:rsid w:val="00432DAA"/>
    <w:rsid w:val="00434305"/>
    <w:rsid w:val="00435DF7"/>
    <w:rsid w:val="0043741A"/>
    <w:rsid w:val="0044083F"/>
    <w:rsid w:val="00441AE7"/>
    <w:rsid w:val="00445574"/>
    <w:rsid w:val="004467FB"/>
    <w:rsid w:val="004517F5"/>
    <w:rsid w:val="00452D6B"/>
    <w:rsid w:val="00454484"/>
    <w:rsid w:val="0045517B"/>
    <w:rsid w:val="00463B77"/>
    <w:rsid w:val="00463C7B"/>
    <w:rsid w:val="004644A6"/>
    <w:rsid w:val="004659BD"/>
    <w:rsid w:val="00470775"/>
    <w:rsid w:val="004741A6"/>
    <w:rsid w:val="004746B1"/>
    <w:rsid w:val="0047583F"/>
    <w:rsid w:val="00475DE8"/>
    <w:rsid w:val="00481C44"/>
    <w:rsid w:val="00483366"/>
    <w:rsid w:val="00484936"/>
    <w:rsid w:val="00485C89"/>
    <w:rsid w:val="00485CF7"/>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52A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4A7"/>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028"/>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89B"/>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6C6"/>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E6A"/>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B6C"/>
    <w:rsid w:val="008D2D1D"/>
    <w:rsid w:val="008D453D"/>
    <w:rsid w:val="008D53AD"/>
    <w:rsid w:val="008D562B"/>
    <w:rsid w:val="008D5733"/>
    <w:rsid w:val="008D622B"/>
    <w:rsid w:val="008D666C"/>
    <w:rsid w:val="008D7B54"/>
    <w:rsid w:val="008E0C9D"/>
    <w:rsid w:val="008E1648"/>
    <w:rsid w:val="008E1B3E"/>
    <w:rsid w:val="008E1F46"/>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B15"/>
    <w:rsid w:val="00911BE5"/>
    <w:rsid w:val="00913CA9"/>
    <w:rsid w:val="009145AE"/>
    <w:rsid w:val="009146CE"/>
    <w:rsid w:val="00914CA7"/>
    <w:rsid w:val="00915C3E"/>
    <w:rsid w:val="009161A8"/>
    <w:rsid w:val="0092048D"/>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927"/>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C16"/>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878"/>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349B"/>
    <w:rsid w:val="00AA4286"/>
    <w:rsid w:val="00AA456B"/>
    <w:rsid w:val="00AA57F5"/>
    <w:rsid w:val="00AA672E"/>
    <w:rsid w:val="00AA6EC9"/>
    <w:rsid w:val="00AB1D0D"/>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24D"/>
    <w:rsid w:val="00AF47C5"/>
    <w:rsid w:val="00AF5398"/>
    <w:rsid w:val="00B049AF"/>
    <w:rsid w:val="00B07242"/>
    <w:rsid w:val="00B10156"/>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C86"/>
    <w:rsid w:val="00B65149"/>
    <w:rsid w:val="00B66567"/>
    <w:rsid w:val="00B66F52"/>
    <w:rsid w:val="00B66FE5"/>
    <w:rsid w:val="00B72880"/>
    <w:rsid w:val="00B758BF"/>
    <w:rsid w:val="00B76980"/>
    <w:rsid w:val="00B778E2"/>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7993"/>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B25"/>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2264"/>
    <w:rsid w:val="00C6329F"/>
    <w:rsid w:val="00C63340"/>
    <w:rsid w:val="00C63765"/>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DD7"/>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758"/>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B03"/>
    <w:rsid w:val="00FE7E79"/>
    <w:rsid w:val="00FF3E7D"/>
    <w:rsid w:val="00FF5B99"/>
    <w:rsid w:val="00FF730C"/>
    <w:rsid w:val="00FF73F4"/>
    <w:rsid w:val="00FF7CE4"/>
    <w:rsid w:val="00FF7E39"/>
    <w:rsid w:val="04A35BA1"/>
    <w:rsid w:val="09BC0579"/>
    <w:rsid w:val="15BB209F"/>
    <w:rsid w:val="20900C38"/>
    <w:rsid w:val="24991370"/>
    <w:rsid w:val="25A45025"/>
    <w:rsid w:val="2E317220"/>
    <w:rsid w:val="2EA2735C"/>
    <w:rsid w:val="31927ECA"/>
    <w:rsid w:val="36D056D3"/>
    <w:rsid w:val="4E947089"/>
    <w:rsid w:val="57A557E8"/>
    <w:rsid w:val="6C390191"/>
    <w:rsid w:val="6D535A6B"/>
    <w:rsid w:val="6F344E25"/>
    <w:rsid w:val="72C1398E"/>
    <w:rsid w:val="746C0926"/>
    <w:rsid w:val="7EEC1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Times New Roman"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style>
  <w:style w:type="paragraph" w:customStyle="1" w:styleId="190">
    <w:name w:val="标准文件_一级项2"/>
    <w:basedOn w:val="57"/>
    <w:qFormat/>
    <w:uiPriority w:val="0"/>
    <w:pPr>
      <w:numPr>
        <w:ilvl w:val="0"/>
        <w:numId w:val="31"/>
      </w:numPr>
      <w:spacing w:line="300" w:lineRule="exact"/>
      <w:ind w:firstLineChars="0"/>
    </w:p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basedOn w:val="1"/>
    <w:qFormat/>
    <w:uiPriority w:val="0"/>
    <w:pPr>
      <w:widowControl/>
      <w:autoSpaceDE w:val="0"/>
      <w:autoSpaceDN w:val="0"/>
      <w:adjustRightInd/>
      <w:spacing w:after="160" w:line="240" w:lineRule="auto"/>
      <w:ind w:firstLine="42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840614E654145D5BC7E1B1AEA287D34"/>
        <w:style w:val=""/>
        <w:category>
          <w:name w:val="常规"/>
          <w:gallery w:val="placeholder"/>
        </w:category>
        <w:types>
          <w:type w:val="bbPlcHdr"/>
        </w:types>
        <w:behaviors>
          <w:behavior w:val="content"/>
        </w:behaviors>
        <w:description w:val=""/>
        <w:guid w:val="{967C6D70-E6B0-4B35-837D-93707D12D72B}"/>
      </w:docPartPr>
      <w:docPartBody>
        <w:p w14:paraId="34D3AB07">
          <w:pPr>
            <w:pStyle w:val="5"/>
            <w:rPr>
              <w:rFonts w:hint="eastAsia"/>
            </w:rPr>
          </w:pPr>
          <w:r>
            <w:rPr>
              <w:rStyle w:val="4"/>
              <w:rFonts w:hint="eastAsia"/>
            </w:rPr>
            <w:t>单击或点击此处输入文字。</w:t>
          </w:r>
        </w:p>
      </w:docPartBody>
    </w:docPart>
    <w:docPart>
      <w:docPartPr>
        <w:name w:val="9042C111769E485CBBECE3AE3588929A"/>
        <w:style w:val=""/>
        <w:category>
          <w:name w:val="常规"/>
          <w:gallery w:val="placeholder"/>
        </w:category>
        <w:types>
          <w:type w:val="bbPlcHdr"/>
        </w:types>
        <w:behaviors>
          <w:behavior w:val="content"/>
        </w:behaviors>
        <w:description w:val=""/>
        <w:guid w:val="{CFC58071-7F47-46AE-A34B-C5AF859FF145}"/>
      </w:docPartPr>
      <w:docPartBody>
        <w:p w14:paraId="2218E7A6">
          <w:pPr>
            <w:pStyle w:val="6"/>
            <w:rPr>
              <w:rFonts w:hint="eastAsia"/>
            </w:rPr>
          </w:pPr>
          <w:r>
            <w:rPr>
              <w:rStyle w:val="4"/>
              <w:rFonts w:hint="eastAsia"/>
            </w:rPr>
            <w:t>选择一项。</w:t>
          </w:r>
        </w:p>
      </w:docPartBody>
    </w:docPart>
    <w:docPart>
      <w:docPartPr>
        <w:name w:val="E44F45F32BA5473F9A9D18860C13D7E7"/>
        <w:style w:val=""/>
        <w:category>
          <w:name w:val="常规"/>
          <w:gallery w:val="placeholder"/>
        </w:category>
        <w:types>
          <w:type w:val="bbPlcHdr"/>
        </w:types>
        <w:behaviors>
          <w:behavior w:val="content"/>
        </w:behaviors>
        <w:description w:val=""/>
        <w:guid w:val="{01F719A0-C66D-434A-AAE0-0A1E00469F80}"/>
      </w:docPartPr>
      <w:docPartBody>
        <w:p w14:paraId="2D45D942">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182"/>
    <w:rsid w:val="000911F9"/>
    <w:rsid w:val="000B3E7D"/>
    <w:rsid w:val="00165584"/>
    <w:rsid w:val="001B6182"/>
    <w:rsid w:val="00382550"/>
    <w:rsid w:val="003A404B"/>
    <w:rsid w:val="0041432C"/>
    <w:rsid w:val="004A2AE3"/>
    <w:rsid w:val="004B5D65"/>
    <w:rsid w:val="0051699A"/>
    <w:rsid w:val="00557450"/>
    <w:rsid w:val="00650BFB"/>
    <w:rsid w:val="00A65878"/>
    <w:rsid w:val="00C16B25"/>
    <w:rsid w:val="00D45DD7"/>
    <w:rsid w:val="00E56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840614E654145D5BC7E1B1AEA287D3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9042C111769E485CBBECE3AE3588929A"/>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44F45F32BA5473F9A9D18860C13D7E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41B14-293E-4CC1-9C21-3D8BE059D5E9}">
  <ds:schemaRefs/>
</ds:datastoreItem>
</file>

<file path=docProps/app.xml><?xml version="1.0" encoding="utf-8"?>
<Properties xmlns="http://schemas.openxmlformats.org/officeDocument/2006/extended-properties" xmlns:vt="http://schemas.openxmlformats.org/officeDocument/2006/docPropsVTypes">
  <Template>团体标准</Template>
  <Pages>6</Pages>
  <Words>3151</Words>
  <Characters>3659</Characters>
  <Lines>195</Lines>
  <Paragraphs>243</Paragraphs>
  <TotalTime>9</TotalTime>
  <ScaleCrop>false</ScaleCrop>
  <LinksUpToDate>false</LinksUpToDate>
  <CharactersWithSpaces>3762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2026-08-01T12:31:00Z</dcterms:created>
  <dc:creator>马晓燕</dc:creator>
  <cp:lastModifiedBy>caia</cp:lastModifiedBy>
  <cp:lastPrinted>2021-02-02T08:22:00Z</cp:lastPrinted>
  <dcterms:modified xsi:type="dcterms:W3CDTF">2026-08-17T02:44:10Z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eyJoZGlkIjoiN2IxZjI5ZDdhYzUzNTY1MzE5MGRjY2M0NDQ3OTk0MjgiLCJ1c2VySWQiOiI0NjIxOTUwMjYifQ==</vt:lpwstr>
  </property>
  <property fmtid="{D5CDD505-2E9C-101B-9397-08002B2CF9AE}" pid="15" name="KSOProductBuildVer">
    <vt:lpwstr>2052-12.1.0.28043</vt:lpwstr>
  </property>
  <property fmtid="{D5CDD505-2E9C-101B-9397-08002B2CF9AE}" pid="16" name="ICV">
    <vt:lpwstr>8445636B90224DD4810B818F2EEF0138_12</vt:lpwstr>
  </property>
</Properties>
</file>